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3D2" w:rsidRPr="0073781C" w:rsidRDefault="00C813D2" w:rsidP="00C813D2">
      <w:pPr>
        <w:ind w:left="1843" w:right="1983"/>
        <w:jc w:val="both"/>
        <w:rPr>
          <w:rFonts w:ascii="Tahoma" w:hAnsi="Tahoma" w:cs="Tahoma"/>
          <w:i/>
          <w:sz w:val="20"/>
          <w:szCs w:val="20"/>
        </w:rPr>
      </w:pPr>
      <w:r w:rsidRPr="0073781C">
        <w:rPr>
          <w:rFonts w:ascii="Tahoma" w:hAnsi="Tahoma" w:cs="Tahoma"/>
          <w:b/>
          <w:i/>
          <w:sz w:val="20"/>
          <w:szCs w:val="20"/>
        </w:rPr>
        <w:t>Sumilla   :</w:t>
      </w:r>
      <w:r w:rsidRPr="0073781C">
        <w:rPr>
          <w:rFonts w:ascii="Tahoma" w:hAnsi="Tahoma" w:cs="Tahoma"/>
          <w:i/>
          <w:sz w:val="20"/>
          <w:szCs w:val="20"/>
        </w:rPr>
        <w:t xml:space="preserve"> </w:t>
      </w:r>
      <w:r w:rsidRPr="0073781C">
        <w:rPr>
          <w:rFonts w:ascii="Tahoma" w:hAnsi="Tahoma" w:cs="Tahoma"/>
          <w:i/>
          <w:sz w:val="20"/>
          <w:szCs w:val="20"/>
        </w:rPr>
        <w:tab/>
        <w:t>“</w:t>
      </w:r>
      <w:r w:rsidRPr="00C813D2">
        <w:rPr>
          <w:rFonts w:ascii="Tahoma" w:hAnsi="Tahoma" w:cs="Tahoma"/>
          <w:i/>
          <w:sz w:val="20"/>
          <w:szCs w:val="20"/>
          <w:lang w:val="es-PE"/>
        </w:rPr>
        <w:t>La nulidad es entendida como el castigo jurídico para los actos incursos en alguna causal privativa de los efectos jurídicos aspirados por su autor, el mismo que se produce a consecuencia de la Contravención a la Constitución, a las leyes o a las normas reglamentarias, por el defecto o la omisión de alguno de sus requisitos de validez</w:t>
      </w:r>
      <w:r w:rsidRPr="0073781C">
        <w:rPr>
          <w:rFonts w:ascii="Tahoma" w:hAnsi="Tahoma" w:cs="Tahoma"/>
          <w:i/>
          <w:sz w:val="20"/>
          <w:szCs w:val="20"/>
        </w:rPr>
        <w:t>”</w:t>
      </w:r>
    </w:p>
    <w:p w:rsidR="00C813D2" w:rsidRDefault="00C813D2" w:rsidP="00C813D2">
      <w:pPr>
        <w:ind w:left="1843" w:right="1983"/>
        <w:jc w:val="both"/>
        <w:rPr>
          <w:rFonts w:ascii="Tahoma" w:hAnsi="Tahoma" w:cs="Tahoma"/>
          <w:i/>
          <w:sz w:val="20"/>
          <w:szCs w:val="20"/>
        </w:rPr>
      </w:pPr>
    </w:p>
    <w:p w:rsidR="00C813D2" w:rsidRPr="00AD6B2B" w:rsidRDefault="00C813D2" w:rsidP="00C813D2">
      <w:pPr>
        <w:pStyle w:val="Textoindependiente3"/>
        <w:spacing w:after="0"/>
        <w:ind w:left="5387"/>
        <w:jc w:val="both"/>
        <w:rPr>
          <w:rFonts w:ascii="Tahoma" w:hAnsi="Tahoma" w:cs="Tahoma"/>
          <w:b/>
          <w:sz w:val="22"/>
          <w:szCs w:val="22"/>
        </w:rPr>
      </w:pPr>
      <w:r w:rsidRPr="00AD6B2B">
        <w:rPr>
          <w:rFonts w:ascii="Tahoma" w:hAnsi="Tahoma" w:cs="Tahoma"/>
          <w:b/>
          <w:sz w:val="22"/>
          <w:szCs w:val="22"/>
        </w:rPr>
        <w:t>Lima,</w:t>
      </w:r>
      <w:r w:rsidR="00D42085">
        <w:rPr>
          <w:rFonts w:ascii="Tahoma" w:hAnsi="Tahoma" w:cs="Tahoma"/>
          <w:b/>
          <w:sz w:val="22"/>
          <w:szCs w:val="22"/>
        </w:rPr>
        <w:t xml:space="preserve"> 23 de Junio de 2011</w:t>
      </w:r>
    </w:p>
    <w:p w:rsidR="00C813D2" w:rsidRPr="00AD6B2B" w:rsidRDefault="00C813D2" w:rsidP="00C813D2">
      <w:pPr>
        <w:pStyle w:val="Textoindependiente3"/>
        <w:spacing w:after="0"/>
        <w:ind w:left="5387"/>
        <w:jc w:val="both"/>
        <w:rPr>
          <w:rFonts w:ascii="Tahoma" w:hAnsi="Tahoma" w:cs="Tahoma"/>
          <w:b/>
          <w:sz w:val="22"/>
          <w:szCs w:val="22"/>
        </w:rPr>
      </w:pPr>
    </w:p>
    <w:p w:rsidR="00C813D2" w:rsidRPr="00AD6B2B" w:rsidRDefault="00C813D2" w:rsidP="00C813D2">
      <w:pPr>
        <w:ind w:firstLine="567"/>
        <w:contextualSpacing/>
        <w:jc w:val="both"/>
        <w:rPr>
          <w:rFonts w:ascii="Tahoma" w:hAnsi="Tahoma" w:cs="Tahoma"/>
          <w:sz w:val="22"/>
          <w:szCs w:val="22"/>
        </w:rPr>
      </w:pPr>
      <w:r w:rsidRPr="00AD6B2B">
        <w:rPr>
          <w:rFonts w:ascii="Tahoma" w:hAnsi="Tahoma" w:cs="Tahoma"/>
          <w:b/>
          <w:sz w:val="22"/>
          <w:szCs w:val="22"/>
        </w:rPr>
        <w:t xml:space="preserve">Visto </w:t>
      </w:r>
      <w:r>
        <w:rPr>
          <w:rFonts w:ascii="Tahoma" w:hAnsi="Tahoma" w:cs="Tahoma"/>
          <w:sz w:val="22"/>
          <w:szCs w:val="22"/>
        </w:rPr>
        <w:t>en sesión de fecha 23 de junio</w:t>
      </w:r>
      <w:r w:rsidRPr="00AD6B2B">
        <w:rPr>
          <w:rFonts w:ascii="Tahoma" w:hAnsi="Tahoma" w:cs="Tahoma"/>
          <w:sz w:val="22"/>
          <w:szCs w:val="22"/>
        </w:rPr>
        <w:t xml:space="preserve"> de 2011 la Primera Sala del Tribunal de Contrataciones del Estado el Expediente N° </w:t>
      </w:r>
      <w:r>
        <w:rPr>
          <w:rFonts w:ascii="Tahoma" w:hAnsi="Tahoma" w:cs="Tahoma"/>
          <w:sz w:val="22"/>
          <w:szCs w:val="22"/>
        </w:rPr>
        <w:t>2855-2007</w:t>
      </w:r>
      <w:r w:rsidRPr="00AD6B2B">
        <w:rPr>
          <w:rFonts w:ascii="Tahoma" w:hAnsi="Tahoma" w:cs="Tahoma"/>
          <w:sz w:val="22"/>
          <w:szCs w:val="22"/>
        </w:rPr>
        <w:t xml:space="preserve">-TC; sobre </w:t>
      </w:r>
      <w:r>
        <w:rPr>
          <w:rFonts w:ascii="Tahoma" w:hAnsi="Tahoma" w:cs="Tahoma"/>
          <w:sz w:val="22"/>
          <w:szCs w:val="22"/>
        </w:rPr>
        <w:t>la solicitud de nulidad de la Resolución Nº 1796-2010-TC-S1 de fecha 24 de setiembre del 2010.</w:t>
      </w:r>
    </w:p>
    <w:p w:rsidR="00C813D2" w:rsidRPr="00D00ECC" w:rsidRDefault="00C813D2" w:rsidP="00C813D2">
      <w:pPr>
        <w:ind w:firstLine="567"/>
        <w:contextualSpacing/>
        <w:jc w:val="both"/>
        <w:rPr>
          <w:rFonts w:ascii="Tahoma" w:hAnsi="Tahoma" w:cs="Tahoma"/>
          <w:b/>
          <w:sz w:val="21"/>
          <w:szCs w:val="21"/>
          <w:lang w:val="es-ES_tradnl"/>
        </w:rPr>
      </w:pPr>
    </w:p>
    <w:p w:rsidR="00C813D2" w:rsidRPr="00D00ECC" w:rsidRDefault="00C813D2" w:rsidP="00C813D2">
      <w:pPr>
        <w:pStyle w:val="Prrafodelista"/>
        <w:ind w:left="567"/>
        <w:rPr>
          <w:rFonts w:ascii="Tahoma" w:hAnsi="Tahoma" w:cs="Tahoma"/>
          <w:b/>
          <w:sz w:val="21"/>
          <w:szCs w:val="21"/>
        </w:rPr>
      </w:pPr>
      <w:r w:rsidRPr="00D00ECC">
        <w:rPr>
          <w:rFonts w:ascii="Tahoma" w:hAnsi="Tahoma" w:cs="Tahoma"/>
          <w:b/>
          <w:sz w:val="21"/>
          <w:szCs w:val="21"/>
        </w:rPr>
        <w:t>ANTECEDENTES:</w:t>
      </w:r>
    </w:p>
    <w:p w:rsidR="00C813D2" w:rsidRPr="00D00ECC" w:rsidRDefault="00C813D2" w:rsidP="00C813D2">
      <w:pPr>
        <w:jc w:val="both"/>
        <w:rPr>
          <w:rFonts w:ascii="Tahoma" w:hAnsi="Tahoma" w:cs="Tahoma"/>
          <w:b/>
          <w:sz w:val="21"/>
          <w:szCs w:val="21"/>
          <w:lang w:eastAsia="es-PE"/>
        </w:rPr>
      </w:pPr>
    </w:p>
    <w:p w:rsidR="00C813D2" w:rsidRPr="005F215B" w:rsidRDefault="00C813D2" w:rsidP="00C813D2">
      <w:pPr>
        <w:widowControl w:val="0"/>
        <w:numPr>
          <w:ilvl w:val="0"/>
          <w:numId w:val="6"/>
        </w:numPr>
        <w:tabs>
          <w:tab w:val="clear" w:pos="1065"/>
        </w:tabs>
        <w:suppressAutoHyphens/>
        <w:ind w:left="540" w:hanging="540"/>
        <w:jc w:val="both"/>
        <w:rPr>
          <w:rFonts w:ascii="Tahoma" w:hAnsi="Tahoma" w:cs="Tahoma"/>
          <w:sz w:val="22"/>
          <w:szCs w:val="22"/>
        </w:rPr>
      </w:pPr>
      <w:r w:rsidRPr="005F215B">
        <w:rPr>
          <w:rFonts w:ascii="Tahoma" w:hAnsi="Tahoma" w:cs="Tahoma"/>
          <w:sz w:val="22"/>
          <w:szCs w:val="22"/>
        </w:rPr>
        <w:t>El 20 de julio de 2007, la Municipalidad de Miraflores, en lo sucesivo la Entidad, convocó la Adjudicación Directa Pública Nº 001-2007-CE/MM, según relación de ítems, para el suministro de materiales de construcción, con un valor referencial ascendente a S/ 238,383.60 (Doscientos treinta y ocho mil trescientos ochenta y tres con 60/100 nuevos soles) incluido el Impuesto General a las Ventas (IGV).</w:t>
      </w:r>
    </w:p>
    <w:p w:rsidR="00C813D2" w:rsidRPr="005F215B" w:rsidRDefault="00C813D2" w:rsidP="00C813D2">
      <w:pPr>
        <w:jc w:val="both"/>
        <w:rPr>
          <w:rFonts w:ascii="Tahoma" w:hAnsi="Tahoma" w:cs="Tahoma"/>
          <w:sz w:val="22"/>
          <w:szCs w:val="22"/>
        </w:rPr>
      </w:pPr>
    </w:p>
    <w:p w:rsidR="00C813D2" w:rsidRPr="005F215B" w:rsidRDefault="00C813D2" w:rsidP="00C813D2">
      <w:pPr>
        <w:widowControl w:val="0"/>
        <w:numPr>
          <w:ilvl w:val="0"/>
          <w:numId w:val="6"/>
        </w:numPr>
        <w:tabs>
          <w:tab w:val="clear" w:pos="1065"/>
        </w:tabs>
        <w:suppressAutoHyphens/>
        <w:ind w:left="540" w:hanging="540"/>
        <w:jc w:val="both"/>
        <w:rPr>
          <w:rFonts w:ascii="Tahoma" w:hAnsi="Tahoma" w:cs="Tahoma"/>
          <w:sz w:val="22"/>
          <w:szCs w:val="22"/>
        </w:rPr>
      </w:pPr>
      <w:r w:rsidRPr="005F215B">
        <w:rPr>
          <w:rFonts w:ascii="Tahoma" w:hAnsi="Tahoma" w:cs="Tahoma"/>
          <w:sz w:val="22"/>
          <w:szCs w:val="22"/>
        </w:rPr>
        <w:t>El 8 de agosto de 2007, se realizó la presentación de propuestas, participando en el ítem Nº 2 la empresa ARIES COMERCIAL S.A.C. y la empresa DITRANSERVA S.A.C.</w:t>
      </w:r>
    </w:p>
    <w:p w:rsidR="00C813D2" w:rsidRPr="005F215B" w:rsidRDefault="00C813D2" w:rsidP="00C813D2">
      <w:pPr>
        <w:pStyle w:val="Prrafodelista"/>
        <w:rPr>
          <w:rFonts w:ascii="Tahoma" w:hAnsi="Tahoma" w:cs="Tahoma"/>
          <w:sz w:val="22"/>
          <w:szCs w:val="22"/>
        </w:rPr>
      </w:pPr>
    </w:p>
    <w:p w:rsidR="00C813D2" w:rsidRPr="005F215B" w:rsidRDefault="00C813D2" w:rsidP="00C813D2">
      <w:pPr>
        <w:widowControl w:val="0"/>
        <w:numPr>
          <w:ilvl w:val="0"/>
          <w:numId w:val="6"/>
        </w:numPr>
        <w:tabs>
          <w:tab w:val="clear" w:pos="1065"/>
        </w:tabs>
        <w:suppressAutoHyphens/>
        <w:ind w:left="540" w:hanging="540"/>
        <w:jc w:val="both"/>
        <w:rPr>
          <w:rFonts w:ascii="Tahoma" w:hAnsi="Tahoma" w:cs="Tahoma"/>
          <w:sz w:val="22"/>
          <w:szCs w:val="22"/>
        </w:rPr>
      </w:pPr>
      <w:r w:rsidRPr="005F215B">
        <w:rPr>
          <w:rFonts w:ascii="Tahoma" w:hAnsi="Tahoma" w:cs="Tahoma"/>
          <w:sz w:val="22"/>
          <w:szCs w:val="22"/>
        </w:rPr>
        <w:t>EL 10 de agosto de 2007, el Comité Especial del proceso de selección otorgó la buena pro del ítem 2 a la empresa DITRANSERVA S.A.C., en adelante el Postor, por su propuesta ascendente a la suma total de S/. 187, 370.40 (Ciento ochenta y siete mil trescientos setenta con 40/100 nuevos soles).</w:t>
      </w:r>
    </w:p>
    <w:p w:rsidR="00C813D2" w:rsidRPr="005F215B" w:rsidRDefault="00C813D2" w:rsidP="00C813D2">
      <w:pPr>
        <w:pStyle w:val="Prrafodelista"/>
        <w:rPr>
          <w:rFonts w:ascii="Tahoma" w:hAnsi="Tahoma" w:cs="Tahoma"/>
          <w:sz w:val="22"/>
          <w:szCs w:val="22"/>
        </w:rPr>
      </w:pPr>
    </w:p>
    <w:p w:rsidR="00C813D2" w:rsidRPr="005F215B" w:rsidRDefault="00C813D2" w:rsidP="00C813D2">
      <w:pPr>
        <w:widowControl w:val="0"/>
        <w:numPr>
          <w:ilvl w:val="0"/>
          <w:numId w:val="6"/>
        </w:numPr>
        <w:tabs>
          <w:tab w:val="clear" w:pos="1065"/>
        </w:tabs>
        <w:suppressAutoHyphens/>
        <w:ind w:left="540" w:hanging="540"/>
        <w:jc w:val="both"/>
        <w:rPr>
          <w:rFonts w:ascii="Tahoma" w:hAnsi="Tahoma" w:cs="Tahoma"/>
          <w:sz w:val="22"/>
          <w:szCs w:val="22"/>
        </w:rPr>
      </w:pPr>
      <w:r w:rsidRPr="005F215B">
        <w:rPr>
          <w:rFonts w:ascii="Tahoma" w:hAnsi="Tahoma" w:cs="Tahoma"/>
          <w:sz w:val="22"/>
          <w:szCs w:val="22"/>
        </w:rPr>
        <w:t>Mediante Carta Nº 357-2007-GL/MM de fecha 24 de agosto de 2007, remitida vía fax el 27 del mismo mes y año, la Entidad citó al Postor para que en el plazo de diez (10) días se presentara a suscribir el contrato con la documentación pertinente.</w:t>
      </w:r>
    </w:p>
    <w:p w:rsidR="00C813D2" w:rsidRPr="005F215B" w:rsidRDefault="00C813D2" w:rsidP="00C813D2">
      <w:pPr>
        <w:pStyle w:val="Prrafodelista"/>
        <w:rPr>
          <w:rFonts w:ascii="Tahoma" w:hAnsi="Tahoma" w:cs="Tahoma"/>
          <w:sz w:val="22"/>
          <w:szCs w:val="22"/>
        </w:rPr>
      </w:pPr>
    </w:p>
    <w:p w:rsidR="00C813D2" w:rsidRPr="005F215B" w:rsidRDefault="00C813D2" w:rsidP="00C813D2">
      <w:pPr>
        <w:widowControl w:val="0"/>
        <w:numPr>
          <w:ilvl w:val="0"/>
          <w:numId w:val="6"/>
        </w:numPr>
        <w:tabs>
          <w:tab w:val="clear" w:pos="1065"/>
        </w:tabs>
        <w:suppressAutoHyphens/>
        <w:ind w:left="540" w:hanging="540"/>
        <w:jc w:val="both"/>
        <w:rPr>
          <w:rFonts w:ascii="Tahoma" w:hAnsi="Tahoma" w:cs="Tahoma"/>
          <w:sz w:val="22"/>
          <w:szCs w:val="22"/>
        </w:rPr>
      </w:pPr>
      <w:r w:rsidRPr="005F215B">
        <w:rPr>
          <w:rFonts w:ascii="Tahoma" w:hAnsi="Tahoma" w:cs="Tahoma"/>
          <w:sz w:val="22"/>
          <w:szCs w:val="22"/>
        </w:rPr>
        <w:t>Mediante Carta Nº 0110-2007-G.G de fecha 14 de setiembre de 2007, remitida vía fax en la misma fecha, el Postor comunicó a la Entidad su imposibilidad de suscribir el contrato, por un incremento del 25% en el precio del cemento asfáltico.</w:t>
      </w:r>
    </w:p>
    <w:p w:rsidR="00C813D2" w:rsidRPr="005F215B" w:rsidRDefault="00C813D2" w:rsidP="00C813D2">
      <w:pPr>
        <w:pStyle w:val="Prrafodelista"/>
        <w:rPr>
          <w:rFonts w:ascii="Tahoma" w:hAnsi="Tahoma" w:cs="Tahoma"/>
          <w:sz w:val="22"/>
          <w:szCs w:val="22"/>
        </w:rPr>
      </w:pPr>
    </w:p>
    <w:p w:rsidR="00C813D2" w:rsidRPr="005F215B" w:rsidRDefault="00C813D2" w:rsidP="00C813D2">
      <w:pPr>
        <w:widowControl w:val="0"/>
        <w:numPr>
          <w:ilvl w:val="0"/>
          <w:numId w:val="6"/>
        </w:numPr>
        <w:tabs>
          <w:tab w:val="clear" w:pos="1065"/>
        </w:tabs>
        <w:suppressAutoHyphens/>
        <w:ind w:left="540" w:hanging="540"/>
        <w:jc w:val="both"/>
        <w:rPr>
          <w:rFonts w:ascii="Tahoma" w:hAnsi="Tahoma" w:cs="Tahoma"/>
          <w:sz w:val="22"/>
          <w:szCs w:val="22"/>
        </w:rPr>
      </w:pPr>
      <w:r w:rsidRPr="005F215B">
        <w:rPr>
          <w:rFonts w:ascii="Tahoma" w:hAnsi="Tahoma" w:cs="Tahoma"/>
          <w:sz w:val="22"/>
          <w:szCs w:val="22"/>
        </w:rPr>
        <w:t xml:space="preserve">Mediante Oficio Nº 381-2007-GL/MM de fecha 21 de setiembre de 2007, recibido el 27 del mismo mes y mismo año, la Entidad comunicó al Tribunal de Contrataciones y Adquisiciones del Estado (hoy Tribunal de Contrataciones del Estado), en adelante el Tribunal, que el Postor no se presentó a firmar el contrato </w:t>
      </w:r>
      <w:r w:rsidRPr="005F215B">
        <w:rPr>
          <w:rFonts w:ascii="Tahoma" w:hAnsi="Tahoma" w:cs="Tahoma"/>
          <w:sz w:val="22"/>
          <w:szCs w:val="22"/>
        </w:rPr>
        <w:lastRenderedPageBreak/>
        <w:t>respectivo derivado del proceso de selección materia de autos.</w:t>
      </w:r>
    </w:p>
    <w:p w:rsidR="00C813D2" w:rsidRPr="005F215B" w:rsidRDefault="00C813D2" w:rsidP="00C813D2">
      <w:pPr>
        <w:pStyle w:val="Prrafodelista"/>
        <w:rPr>
          <w:rFonts w:ascii="Tahoma" w:hAnsi="Tahoma" w:cs="Tahoma"/>
          <w:sz w:val="22"/>
          <w:szCs w:val="22"/>
        </w:rPr>
      </w:pPr>
    </w:p>
    <w:p w:rsidR="00C813D2" w:rsidRPr="005F215B" w:rsidRDefault="00C813D2" w:rsidP="00C813D2">
      <w:pPr>
        <w:widowControl w:val="0"/>
        <w:numPr>
          <w:ilvl w:val="0"/>
          <w:numId w:val="6"/>
        </w:numPr>
        <w:tabs>
          <w:tab w:val="clear" w:pos="1065"/>
        </w:tabs>
        <w:suppressAutoHyphens/>
        <w:ind w:left="540" w:hanging="540"/>
        <w:jc w:val="both"/>
        <w:rPr>
          <w:rFonts w:ascii="Tahoma" w:hAnsi="Tahoma" w:cs="Tahoma"/>
          <w:sz w:val="22"/>
          <w:szCs w:val="22"/>
        </w:rPr>
      </w:pPr>
      <w:r w:rsidRPr="005F215B">
        <w:rPr>
          <w:rFonts w:ascii="Tahoma" w:hAnsi="Tahoma" w:cs="Tahoma"/>
          <w:sz w:val="22"/>
          <w:szCs w:val="22"/>
        </w:rPr>
        <w:t xml:space="preserve">Mediante decreto de fecha 28 de setiembre de 2007, notificado el 29 de octubre del mismo año, previo al inicio del procedimiento sancionador, se solicitó a la Entidad que remita copia de la carta mediante la cual citó al Consorcio para la suscripción del contrato, debiendo constar de manera legible la fecha de recepción, copia de los antecedentes administrativos, entre otros. </w:t>
      </w:r>
    </w:p>
    <w:p w:rsidR="00C813D2" w:rsidRPr="005F215B" w:rsidRDefault="00C813D2" w:rsidP="00C813D2">
      <w:pPr>
        <w:pStyle w:val="Prrafodelista"/>
        <w:rPr>
          <w:rFonts w:ascii="Tahoma" w:hAnsi="Tahoma" w:cs="Tahoma"/>
          <w:sz w:val="22"/>
          <w:szCs w:val="22"/>
        </w:rPr>
      </w:pPr>
    </w:p>
    <w:p w:rsidR="00C813D2" w:rsidRPr="005F215B" w:rsidRDefault="00C813D2" w:rsidP="00C813D2">
      <w:pPr>
        <w:widowControl w:val="0"/>
        <w:numPr>
          <w:ilvl w:val="0"/>
          <w:numId w:val="6"/>
        </w:numPr>
        <w:tabs>
          <w:tab w:val="clear" w:pos="1065"/>
        </w:tabs>
        <w:suppressAutoHyphens/>
        <w:ind w:left="540" w:hanging="540"/>
        <w:jc w:val="both"/>
        <w:rPr>
          <w:rFonts w:ascii="Tahoma" w:hAnsi="Tahoma" w:cs="Tahoma"/>
          <w:sz w:val="22"/>
          <w:szCs w:val="22"/>
        </w:rPr>
      </w:pPr>
      <w:r w:rsidRPr="005F215B">
        <w:rPr>
          <w:rFonts w:ascii="Tahoma" w:hAnsi="Tahoma" w:cs="Tahoma"/>
          <w:sz w:val="22"/>
          <w:szCs w:val="22"/>
        </w:rPr>
        <w:t>Mediante Oficio Nº 06-2007-GL/MM de fecha 14 de noviembre de 2007, recibido en la misma fecha, la Entidad cumplió con remitir lo solicitado por lo que mediante decreto de fecha 19 de noviembre de 2007, notificado el 30 de enero de 2008, se dispuso el inicio del procedimiento sancionador contra el Postor por su presunta responsabilidad en la no suscripción injustificada del contrato, a pesar de haber sido favorecido con la buena pro del proceso de selección materia de autos, otorgándole un plazo de diez (10) días para que presente sus descargos, bajo apercibimiento de resolver con la documentación obrante en autos.</w:t>
      </w:r>
    </w:p>
    <w:p w:rsidR="00C813D2" w:rsidRPr="005F215B" w:rsidRDefault="00C813D2" w:rsidP="00C813D2">
      <w:pPr>
        <w:jc w:val="both"/>
        <w:rPr>
          <w:rFonts w:ascii="Tahoma" w:hAnsi="Tahoma" w:cs="Tahoma"/>
          <w:sz w:val="22"/>
          <w:szCs w:val="22"/>
        </w:rPr>
      </w:pPr>
    </w:p>
    <w:p w:rsidR="00C813D2" w:rsidRPr="005F215B" w:rsidRDefault="00C813D2" w:rsidP="00C813D2">
      <w:pPr>
        <w:widowControl w:val="0"/>
        <w:numPr>
          <w:ilvl w:val="0"/>
          <w:numId w:val="6"/>
        </w:numPr>
        <w:tabs>
          <w:tab w:val="clear" w:pos="1065"/>
        </w:tabs>
        <w:suppressAutoHyphens/>
        <w:ind w:left="540" w:hanging="540"/>
        <w:jc w:val="both"/>
        <w:rPr>
          <w:rFonts w:ascii="Tahoma" w:hAnsi="Tahoma" w:cs="Tahoma"/>
          <w:sz w:val="22"/>
          <w:szCs w:val="22"/>
        </w:rPr>
      </w:pPr>
      <w:r w:rsidRPr="005F215B">
        <w:rPr>
          <w:rFonts w:ascii="Tahoma" w:hAnsi="Tahoma" w:cs="Tahoma"/>
          <w:sz w:val="22"/>
          <w:szCs w:val="22"/>
        </w:rPr>
        <w:t>El 4 de febrero de 2008, el Postor se apersonó al presente procedimiento sancionador y presentó sus descargos manifestando lo siguiente:</w:t>
      </w:r>
    </w:p>
    <w:p w:rsidR="00C813D2" w:rsidRPr="005F215B" w:rsidRDefault="00C813D2" w:rsidP="00C813D2">
      <w:pPr>
        <w:pStyle w:val="Prrafodelista"/>
        <w:rPr>
          <w:rFonts w:ascii="Tahoma" w:hAnsi="Tahoma" w:cs="Tahoma"/>
          <w:sz w:val="22"/>
          <w:szCs w:val="22"/>
        </w:rPr>
      </w:pPr>
    </w:p>
    <w:p w:rsidR="00C813D2" w:rsidRPr="005F215B" w:rsidRDefault="00C813D2" w:rsidP="00C813D2">
      <w:pPr>
        <w:widowControl w:val="0"/>
        <w:numPr>
          <w:ilvl w:val="0"/>
          <w:numId w:val="7"/>
        </w:numPr>
        <w:suppressAutoHyphens/>
        <w:ind w:left="1134" w:hanging="567"/>
        <w:jc w:val="both"/>
        <w:rPr>
          <w:rFonts w:ascii="Tahoma" w:hAnsi="Tahoma" w:cs="Tahoma"/>
          <w:sz w:val="22"/>
          <w:szCs w:val="22"/>
        </w:rPr>
      </w:pPr>
      <w:r w:rsidRPr="005F215B">
        <w:rPr>
          <w:rFonts w:ascii="Tahoma" w:hAnsi="Tahoma" w:cs="Tahoma"/>
          <w:sz w:val="22"/>
          <w:szCs w:val="22"/>
        </w:rPr>
        <w:t>Que, la Entidad no había cumplido con lo establecido en el artículo 203 del Reglamento de la Ley de Contrataciones y Adquisiciones del Estado, aprobado mediante Decreto Supremo Nº 084-2004-PCM, pues el otorgamiento de la buena pro y el consentimiento de la misma, se realizó el 10 de agosto de 2007, y al haber sido citado el 27 de agosto de 2007, la Entidad no cumplió con citarlos dentro de los dos días hábiles siguientes del consentimiento de la buena pro.</w:t>
      </w:r>
    </w:p>
    <w:p w:rsidR="00C813D2" w:rsidRPr="005F215B" w:rsidRDefault="00C813D2" w:rsidP="00C813D2">
      <w:pPr>
        <w:ind w:left="1134"/>
        <w:jc w:val="both"/>
        <w:rPr>
          <w:rFonts w:ascii="Tahoma" w:hAnsi="Tahoma" w:cs="Tahoma"/>
          <w:sz w:val="22"/>
          <w:szCs w:val="22"/>
        </w:rPr>
      </w:pPr>
    </w:p>
    <w:p w:rsidR="00C813D2" w:rsidRPr="005F215B" w:rsidRDefault="00C813D2" w:rsidP="00C813D2">
      <w:pPr>
        <w:widowControl w:val="0"/>
        <w:numPr>
          <w:ilvl w:val="0"/>
          <w:numId w:val="7"/>
        </w:numPr>
        <w:suppressAutoHyphens/>
        <w:ind w:left="1134" w:hanging="567"/>
        <w:jc w:val="both"/>
        <w:rPr>
          <w:rFonts w:ascii="Tahoma" w:hAnsi="Tahoma" w:cs="Tahoma"/>
          <w:sz w:val="22"/>
          <w:szCs w:val="22"/>
        </w:rPr>
      </w:pPr>
      <w:r w:rsidRPr="005F215B">
        <w:rPr>
          <w:rFonts w:ascii="Tahoma" w:hAnsi="Tahoma" w:cs="Tahoma"/>
          <w:sz w:val="22"/>
          <w:szCs w:val="22"/>
        </w:rPr>
        <w:t>Asimismo, agregó que comunicó a la Entidad la justificación de no suscripción del contrato, la misma que estaba referida al incremento de 25% en el precio del cemento asfáltico en caliente, así como del Petróleo Diesel.</w:t>
      </w:r>
    </w:p>
    <w:p w:rsidR="00C813D2" w:rsidRPr="005F215B" w:rsidRDefault="00C813D2" w:rsidP="00C813D2">
      <w:pPr>
        <w:ind w:left="1134"/>
        <w:jc w:val="both"/>
        <w:rPr>
          <w:rFonts w:ascii="Tahoma" w:hAnsi="Tahoma" w:cs="Tahoma"/>
          <w:sz w:val="22"/>
          <w:szCs w:val="22"/>
          <w:highlight w:val="yellow"/>
        </w:rPr>
      </w:pPr>
    </w:p>
    <w:p w:rsidR="00C813D2" w:rsidRPr="005F215B" w:rsidRDefault="00C813D2" w:rsidP="00C813D2">
      <w:pPr>
        <w:widowControl w:val="0"/>
        <w:numPr>
          <w:ilvl w:val="0"/>
          <w:numId w:val="6"/>
        </w:numPr>
        <w:tabs>
          <w:tab w:val="clear" w:pos="1065"/>
        </w:tabs>
        <w:suppressAutoHyphens/>
        <w:ind w:left="540" w:hanging="540"/>
        <w:jc w:val="both"/>
        <w:rPr>
          <w:rFonts w:ascii="Tahoma" w:hAnsi="Tahoma" w:cs="Tahoma"/>
          <w:sz w:val="22"/>
          <w:szCs w:val="22"/>
        </w:rPr>
      </w:pPr>
      <w:r w:rsidRPr="005F215B">
        <w:rPr>
          <w:rFonts w:ascii="Tahoma" w:hAnsi="Tahoma" w:cs="Tahoma"/>
          <w:sz w:val="22"/>
          <w:szCs w:val="22"/>
          <w:lang w:val="es-PE"/>
        </w:rPr>
        <w:t>Mediante decreto de fecha 30 de marzo de 2010, se dispuso reasignar y remitir el presente expediente a la Primera Sala del Tribunal, en vista de la designación de Vocales y de la conformación de las Salas del Tribunal, realizadas mediante Resolución Nº 044-2010-EF de fecha 23 de marzo de 2010 y Resolución Nº 190-2010-OSCE/PRE de fecha 29 de marzo de 2010, respectivamente.</w:t>
      </w:r>
    </w:p>
    <w:p w:rsidR="00C813D2" w:rsidRPr="005F215B" w:rsidRDefault="00C813D2" w:rsidP="00C813D2">
      <w:pPr>
        <w:ind w:left="540"/>
        <w:jc w:val="both"/>
        <w:rPr>
          <w:rFonts w:ascii="Tahoma" w:hAnsi="Tahoma" w:cs="Tahoma"/>
          <w:sz w:val="22"/>
          <w:szCs w:val="22"/>
        </w:rPr>
      </w:pPr>
    </w:p>
    <w:p w:rsidR="00C813D2" w:rsidRPr="005F215B" w:rsidRDefault="00C813D2" w:rsidP="00C813D2">
      <w:pPr>
        <w:widowControl w:val="0"/>
        <w:numPr>
          <w:ilvl w:val="0"/>
          <w:numId w:val="6"/>
        </w:numPr>
        <w:tabs>
          <w:tab w:val="clear" w:pos="1065"/>
        </w:tabs>
        <w:suppressAutoHyphens/>
        <w:ind w:left="540" w:hanging="540"/>
        <w:jc w:val="both"/>
        <w:rPr>
          <w:rFonts w:ascii="Tahoma" w:hAnsi="Tahoma" w:cs="Tahoma"/>
          <w:sz w:val="22"/>
          <w:szCs w:val="22"/>
        </w:rPr>
      </w:pPr>
      <w:r w:rsidRPr="005F215B">
        <w:rPr>
          <w:rFonts w:ascii="Tahoma" w:hAnsi="Tahoma" w:cs="Tahoma"/>
          <w:sz w:val="22"/>
          <w:szCs w:val="22"/>
        </w:rPr>
        <w:t xml:space="preserve">A través de la Resolución Nº 1796-2010-TC-S1 de fecha 24 de setiembre del 2010, se dispuso imponer al Postor la sanción administrativa de inhabilitación temporal por el periodo de quince (15) meses, en sus derechos de participar en procesos de selección y contratar con el Estado, por incurrir en la infracción tipificada en el numeral 1) del artículo 294 del Reglamento de la Ley de </w:t>
      </w:r>
      <w:r w:rsidRPr="005F215B">
        <w:rPr>
          <w:rFonts w:ascii="Tahoma" w:hAnsi="Tahoma" w:cs="Tahoma"/>
          <w:sz w:val="22"/>
          <w:szCs w:val="22"/>
        </w:rPr>
        <w:lastRenderedPageBreak/>
        <w:t>Contrataciones y Adquisiciones del Estado.</w:t>
      </w:r>
    </w:p>
    <w:p w:rsidR="00C813D2" w:rsidRPr="005F215B" w:rsidRDefault="00C813D2" w:rsidP="00C813D2">
      <w:pPr>
        <w:pStyle w:val="Prrafodelista"/>
        <w:rPr>
          <w:rFonts w:ascii="Tahoma" w:hAnsi="Tahoma" w:cs="Tahoma"/>
          <w:sz w:val="22"/>
          <w:szCs w:val="22"/>
        </w:rPr>
      </w:pPr>
    </w:p>
    <w:p w:rsidR="00C813D2" w:rsidRDefault="00C813D2" w:rsidP="00C813D2">
      <w:pPr>
        <w:widowControl w:val="0"/>
        <w:numPr>
          <w:ilvl w:val="0"/>
          <w:numId w:val="6"/>
        </w:numPr>
        <w:tabs>
          <w:tab w:val="clear" w:pos="1065"/>
        </w:tabs>
        <w:suppressAutoHyphens/>
        <w:ind w:left="540" w:hanging="540"/>
        <w:jc w:val="both"/>
        <w:rPr>
          <w:rFonts w:ascii="Tahoma" w:hAnsi="Tahoma" w:cs="Tahoma"/>
          <w:sz w:val="22"/>
          <w:szCs w:val="22"/>
        </w:rPr>
      </w:pPr>
      <w:r w:rsidRPr="005F215B">
        <w:rPr>
          <w:rFonts w:ascii="Tahoma" w:hAnsi="Tahoma" w:cs="Tahoma"/>
          <w:sz w:val="22"/>
          <w:szCs w:val="22"/>
        </w:rPr>
        <w:t xml:space="preserve">Con escrito presentado el 18 de abril del 2011, el Postor solicitó </w:t>
      </w:r>
      <w:r>
        <w:rPr>
          <w:rFonts w:ascii="Tahoma" w:hAnsi="Tahoma" w:cs="Tahoma"/>
          <w:sz w:val="22"/>
          <w:szCs w:val="22"/>
        </w:rPr>
        <w:t xml:space="preserve">que </w:t>
      </w:r>
      <w:r w:rsidRPr="005F215B">
        <w:rPr>
          <w:rFonts w:ascii="Tahoma" w:hAnsi="Tahoma" w:cs="Tahoma"/>
          <w:sz w:val="22"/>
          <w:szCs w:val="22"/>
        </w:rPr>
        <w:t>se declare la nulidad de la Resolución Nº 1796-2010-TC-S1 de fecha 24 de setiembre del 2010, bajo los siguiente argumentos:</w:t>
      </w:r>
    </w:p>
    <w:p w:rsidR="00C813D2" w:rsidRPr="007C42F9" w:rsidRDefault="00C813D2" w:rsidP="00C813D2">
      <w:pPr>
        <w:rPr>
          <w:rFonts w:ascii="Tahoma" w:hAnsi="Tahoma" w:cs="Tahoma"/>
          <w:sz w:val="22"/>
          <w:szCs w:val="22"/>
        </w:rPr>
      </w:pPr>
    </w:p>
    <w:p w:rsidR="00C813D2" w:rsidRPr="005F215B" w:rsidRDefault="00C813D2" w:rsidP="00C813D2">
      <w:pPr>
        <w:ind w:left="540"/>
        <w:jc w:val="both"/>
        <w:rPr>
          <w:rFonts w:ascii="Tahoma" w:hAnsi="Tahoma" w:cs="Tahoma"/>
          <w:b/>
          <w:sz w:val="22"/>
          <w:szCs w:val="22"/>
        </w:rPr>
      </w:pPr>
      <w:r w:rsidRPr="005F215B">
        <w:rPr>
          <w:rFonts w:ascii="Tahoma" w:hAnsi="Tahoma" w:cs="Tahoma"/>
          <w:b/>
          <w:sz w:val="22"/>
          <w:szCs w:val="22"/>
        </w:rPr>
        <w:t>Respecto a la indebida notificación de la citación para la suscripción del contrato</w:t>
      </w:r>
    </w:p>
    <w:p w:rsidR="00C813D2" w:rsidRPr="005F215B" w:rsidRDefault="00C813D2" w:rsidP="00C813D2">
      <w:pPr>
        <w:jc w:val="both"/>
        <w:rPr>
          <w:rFonts w:ascii="Tahoma" w:hAnsi="Tahoma" w:cs="Tahoma"/>
          <w:b/>
          <w:sz w:val="22"/>
          <w:szCs w:val="22"/>
        </w:rPr>
      </w:pPr>
    </w:p>
    <w:p w:rsidR="00C813D2" w:rsidRPr="005F215B" w:rsidRDefault="00C813D2" w:rsidP="00C813D2">
      <w:pPr>
        <w:pStyle w:val="Prrafodelista"/>
        <w:numPr>
          <w:ilvl w:val="0"/>
          <w:numId w:val="8"/>
        </w:numPr>
        <w:ind w:left="1134" w:hanging="567"/>
        <w:jc w:val="both"/>
        <w:rPr>
          <w:rFonts w:ascii="Tahoma" w:hAnsi="Tahoma" w:cs="Tahoma"/>
          <w:sz w:val="22"/>
          <w:szCs w:val="22"/>
        </w:rPr>
      </w:pPr>
      <w:r w:rsidRPr="005F215B">
        <w:rPr>
          <w:rFonts w:ascii="Tahoma" w:hAnsi="Tahoma" w:cs="Tahoma"/>
          <w:sz w:val="22"/>
          <w:szCs w:val="22"/>
        </w:rPr>
        <w:t>La Resolución Nº 1796-2010-TC-S1 de fecha 24 de setiembre del 2010, ha pretendido justificar la notificación vía fax de la Carta Nº 357-2007-GL/MM de fecha 24 de agosto del 2007, mediante la cual se le citó para suscribir el contrato, al considerar que el acto de notificación se habría saneado en virtud a lo establecido en el numeral 27.2 del artículo 27 de la Ley del Procedimiento Administrativo General, Ley 27444; no obstante ello, no existe declaración jurada alguna mediante la cual los postores hayan autorizado a la Entidad a notificar los actos del proceso de selección a través de una modalidad distinta al Sistema Electrónico de Adquisiciones y Contrataciones del Estado (SEACE) o la normativa personas prevista en la Ley del Procedimiento Administrativo General.</w:t>
      </w:r>
    </w:p>
    <w:p w:rsidR="00C813D2" w:rsidRPr="005F215B" w:rsidRDefault="00C813D2" w:rsidP="00C813D2">
      <w:pPr>
        <w:ind w:left="1134" w:hanging="567"/>
        <w:jc w:val="both"/>
        <w:rPr>
          <w:rFonts w:ascii="Tahoma" w:hAnsi="Tahoma" w:cs="Tahoma"/>
          <w:sz w:val="22"/>
          <w:szCs w:val="22"/>
        </w:rPr>
      </w:pPr>
    </w:p>
    <w:p w:rsidR="00C813D2" w:rsidRPr="005F215B" w:rsidRDefault="00C813D2" w:rsidP="00C813D2">
      <w:pPr>
        <w:pStyle w:val="Prrafodelista"/>
        <w:numPr>
          <w:ilvl w:val="0"/>
          <w:numId w:val="8"/>
        </w:numPr>
        <w:ind w:left="1134" w:hanging="567"/>
        <w:jc w:val="both"/>
        <w:rPr>
          <w:rFonts w:ascii="Tahoma" w:hAnsi="Tahoma" w:cs="Tahoma"/>
          <w:sz w:val="22"/>
          <w:szCs w:val="22"/>
        </w:rPr>
      </w:pPr>
      <w:r w:rsidRPr="005F215B">
        <w:rPr>
          <w:rFonts w:ascii="Tahoma" w:hAnsi="Tahoma" w:cs="Tahoma"/>
          <w:sz w:val="22"/>
          <w:szCs w:val="22"/>
        </w:rPr>
        <w:t>Es preciso indicar que lo establecido en el Anexo Nº 02 “Declaración Jurada de Información Adicional” de las Bases Integradas del proceso, únicamente está referido a la información empresarial, por lo cual no se puede considerar como una autorización expresa para la notificación de los actos del proceso de selección a través de fax.</w:t>
      </w:r>
    </w:p>
    <w:p w:rsidR="00C813D2" w:rsidRPr="005F215B" w:rsidRDefault="00C813D2" w:rsidP="00C813D2">
      <w:pPr>
        <w:ind w:left="1134" w:hanging="567"/>
        <w:jc w:val="both"/>
        <w:rPr>
          <w:rFonts w:ascii="Tahoma" w:hAnsi="Tahoma" w:cs="Tahoma"/>
          <w:sz w:val="22"/>
          <w:szCs w:val="22"/>
        </w:rPr>
      </w:pPr>
    </w:p>
    <w:p w:rsidR="00C813D2" w:rsidRPr="005F215B" w:rsidRDefault="00C813D2" w:rsidP="00C813D2">
      <w:pPr>
        <w:pStyle w:val="Prrafodelista"/>
        <w:numPr>
          <w:ilvl w:val="0"/>
          <w:numId w:val="8"/>
        </w:numPr>
        <w:ind w:left="1134" w:hanging="567"/>
        <w:jc w:val="both"/>
        <w:rPr>
          <w:rFonts w:ascii="Tahoma" w:hAnsi="Tahoma" w:cs="Tahoma"/>
          <w:sz w:val="22"/>
          <w:szCs w:val="22"/>
        </w:rPr>
      </w:pPr>
      <w:r w:rsidRPr="005F215B">
        <w:rPr>
          <w:rFonts w:ascii="Tahoma" w:hAnsi="Tahoma" w:cs="Tahoma"/>
          <w:sz w:val="22"/>
          <w:szCs w:val="22"/>
        </w:rPr>
        <w:t>Asimismo, el artículo 20 de la Ley Nº 27444 ha establecido a la notificación personal como la forma de notificación por excelencia, asimismo, dicha norma dispone que la autoridad no podrá suplir modalidad alguna con otra bajo sanción de nulidad de la notificación, es decir, que no podrá utilizarse las notificaciones mediante telegrama, telefax, correo electrónico o publicación en el Diario Oficial si no se ha agotado la notificación personal.</w:t>
      </w:r>
    </w:p>
    <w:p w:rsidR="00C813D2" w:rsidRPr="005F215B" w:rsidRDefault="00C813D2" w:rsidP="00C813D2">
      <w:pPr>
        <w:ind w:left="1134" w:hanging="567"/>
        <w:jc w:val="both"/>
        <w:rPr>
          <w:rFonts w:ascii="Tahoma" w:hAnsi="Tahoma" w:cs="Tahoma"/>
          <w:sz w:val="22"/>
          <w:szCs w:val="22"/>
        </w:rPr>
      </w:pPr>
    </w:p>
    <w:p w:rsidR="00C813D2" w:rsidRPr="005F215B" w:rsidRDefault="00C813D2" w:rsidP="00C813D2">
      <w:pPr>
        <w:pStyle w:val="Prrafodelista"/>
        <w:numPr>
          <w:ilvl w:val="0"/>
          <w:numId w:val="8"/>
        </w:numPr>
        <w:ind w:left="1134" w:hanging="567"/>
        <w:jc w:val="both"/>
        <w:rPr>
          <w:rFonts w:ascii="Tahoma" w:hAnsi="Tahoma" w:cs="Tahoma"/>
          <w:sz w:val="22"/>
          <w:szCs w:val="22"/>
        </w:rPr>
      </w:pPr>
      <w:r w:rsidRPr="005F215B">
        <w:rPr>
          <w:rFonts w:ascii="Tahoma" w:hAnsi="Tahoma" w:cs="Tahoma"/>
          <w:sz w:val="22"/>
          <w:szCs w:val="22"/>
        </w:rPr>
        <w:t>De todo ello, se puede deducir que la Entidad cometió un vicio de nulidad en la notificación vía telefax, la misma que lo citó para la suscripción del contrato, toda vez que no utilizó la notificación personal y, además, ha utilizado inapropiadamente la notificación vía telefax.</w:t>
      </w:r>
    </w:p>
    <w:p w:rsidR="00C813D2" w:rsidRPr="005F215B" w:rsidRDefault="00C813D2" w:rsidP="00C813D2">
      <w:pPr>
        <w:ind w:left="1134" w:hanging="567"/>
        <w:jc w:val="both"/>
        <w:rPr>
          <w:rFonts w:ascii="Tahoma" w:hAnsi="Tahoma" w:cs="Tahoma"/>
          <w:sz w:val="22"/>
          <w:szCs w:val="22"/>
        </w:rPr>
      </w:pPr>
    </w:p>
    <w:p w:rsidR="00C813D2" w:rsidRPr="005F215B" w:rsidRDefault="00C813D2" w:rsidP="00C813D2">
      <w:pPr>
        <w:pStyle w:val="Prrafodelista"/>
        <w:numPr>
          <w:ilvl w:val="0"/>
          <w:numId w:val="8"/>
        </w:numPr>
        <w:ind w:left="1134" w:hanging="567"/>
        <w:jc w:val="both"/>
        <w:rPr>
          <w:rFonts w:ascii="Tahoma" w:hAnsi="Tahoma" w:cs="Tahoma"/>
          <w:sz w:val="22"/>
          <w:szCs w:val="22"/>
        </w:rPr>
      </w:pPr>
      <w:r w:rsidRPr="005F215B">
        <w:rPr>
          <w:rFonts w:ascii="Tahoma" w:hAnsi="Tahoma" w:cs="Tahoma"/>
          <w:sz w:val="22"/>
          <w:szCs w:val="22"/>
        </w:rPr>
        <w:t xml:space="preserve">Ahora bien, cabe agregar que la Resolución Nº 1796-2010-TC-S1 de fecha 24 de setiembre del 2010, ha mencionado que en caso se tratase de notificación defectuosa, ésta debería surtir efectos legales desde la fecha en que el interesado manifiesta expresamente haberla recibido, de acuerdo a lo establecido en el artículo 27 de la Ley Nº 27444; no obstante ello, dicho supuesto no puede ser aplicado al presente caso, toda vez que en la </w:t>
      </w:r>
      <w:r w:rsidRPr="005F215B">
        <w:rPr>
          <w:rFonts w:ascii="Tahoma" w:hAnsi="Tahoma" w:cs="Tahoma"/>
          <w:sz w:val="22"/>
          <w:szCs w:val="22"/>
        </w:rPr>
        <w:lastRenderedPageBreak/>
        <w:t xml:space="preserve">notificación realizada por la Entidad no adolece de sus requisitos, sino que su modalidad no debió ser empleada, por lo cual se trata de una notificación viciada o nula, la misma que no puede ser subsanada bajo ningún motivo o circunstancia. </w:t>
      </w:r>
    </w:p>
    <w:p w:rsidR="00C813D2" w:rsidRPr="005F215B" w:rsidRDefault="00C813D2" w:rsidP="00C813D2">
      <w:pPr>
        <w:ind w:left="1134" w:hanging="567"/>
        <w:jc w:val="both"/>
        <w:rPr>
          <w:rFonts w:ascii="Tahoma" w:hAnsi="Tahoma" w:cs="Tahoma"/>
          <w:sz w:val="22"/>
          <w:szCs w:val="22"/>
        </w:rPr>
      </w:pPr>
    </w:p>
    <w:p w:rsidR="00C813D2" w:rsidRPr="005F215B" w:rsidRDefault="00C813D2" w:rsidP="00C813D2">
      <w:pPr>
        <w:pStyle w:val="Prrafodelista"/>
        <w:numPr>
          <w:ilvl w:val="0"/>
          <w:numId w:val="8"/>
        </w:numPr>
        <w:ind w:left="1134" w:hanging="567"/>
        <w:jc w:val="both"/>
        <w:rPr>
          <w:rFonts w:ascii="Tahoma" w:hAnsi="Tahoma" w:cs="Tahoma"/>
          <w:sz w:val="22"/>
          <w:szCs w:val="22"/>
        </w:rPr>
      </w:pPr>
      <w:r w:rsidRPr="005F215B">
        <w:rPr>
          <w:rFonts w:ascii="Tahoma" w:hAnsi="Tahoma" w:cs="Tahoma"/>
          <w:sz w:val="22"/>
          <w:szCs w:val="22"/>
        </w:rPr>
        <w:t>En tal sentido, la resolución recurrida, ha transgredido lo dispuesto imperativamente en el artículo 20 de la Ley 27444, siendo además su motivación defectuosa en lo que respecta a la notificación de los actos administrativo, por lo cual se ha configurado las causales de nulidad establecidas en los numerales 1 y 2 del artículo 10 de dicha ley, máxime cuando el criterio asumido por la Primera Sala del Tribunal de Contrataciones del Estado es que la citación para la suscripción del contrato debe ser notificada personalmente; siendo que la utilización de otras modalidades de notificación constituye ineficaz si éstas no han sido autorizadas previamente por el postor o adjudicatario, tal como se advierte en el Acuerdo recaído en el expediente Nº 1016-2009.TC; por lo tanto, en virtud del Principio de Predictibilidad establecido en el numeral 1.15 del artículo IV de la Ley del Procedimiento Administrativo General, se debe declarar la nulidad de oficio de la Resolución Nº 1796-2010-TC-S1 de fecha 24 de setiembre del 2010.</w:t>
      </w:r>
    </w:p>
    <w:p w:rsidR="00C813D2" w:rsidRPr="005F215B" w:rsidRDefault="00C813D2" w:rsidP="00C813D2">
      <w:pPr>
        <w:tabs>
          <w:tab w:val="num" w:pos="9720"/>
        </w:tabs>
        <w:jc w:val="both"/>
        <w:rPr>
          <w:rFonts w:ascii="Tahoma" w:hAnsi="Tahoma" w:cs="Tahoma"/>
          <w:b/>
          <w:sz w:val="22"/>
          <w:szCs w:val="22"/>
        </w:rPr>
      </w:pPr>
    </w:p>
    <w:p w:rsidR="00C813D2" w:rsidRPr="005F215B" w:rsidRDefault="00C813D2" w:rsidP="00C813D2">
      <w:pPr>
        <w:ind w:left="540"/>
        <w:jc w:val="both"/>
        <w:rPr>
          <w:rFonts w:ascii="Tahoma" w:hAnsi="Tahoma" w:cs="Tahoma"/>
          <w:b/>
          <w:sz w:val="22"/>
          <w:szCs w:val="22"/>
        </w:rPr>
      </w:pPr>
      <w:r w:rsidRPr="005F215B">
        <w:rPr>
          <w:rFonts w:ascii="Tahoma" w:hAnsi="Tahoma" w:cs="Tahoma"/>
          <w:b/>
          <w:sz w:val="22"/>
          <w:szCs w:val="22"/>
        </w:rPr>
        <w:t>Respecto a la aplicación indebida de la norma sobre el procedimiento para la suscripción del contrato</w:t>
      </w:r>
    </w:p>
    <w:p w:rsidR="00C813D2" w:rsidRPr="005F215B" w:rsidRDefault="00C813D2" w:rsidP="00C813D2">
      <w:pPr>
        <w:tabs>
          <w:tab w:val="num" w:pos="9720"/>
        </w:tabs>
        <w:jc w:val="both"/>
        <w:rPr>
          <w:rFonts w:ascii="Tahoma" w:hAnsi="Tahoma" w:cs="Tahoma"/>
          <w:b/>
          <w:sz w:val="22"/>
          <w:szCs w:val="22"/>
        </w:rPr>
      </w:pPr>
    </w:p>
    <w:p w:rsidR="00C813D2" w:rsidRPr="005F215B" w:rsidRDefault="00C813D2" w:rsidP="00C813D2">
      <w:pPr>
        <w:pStyle w:val="Prrafodelista"/>
        <w:numPr>
          <w:ilvl w:val="0"/>
          <w:numId w:val="9"/>
        </w:numPr>
        <w:tabs>
          <w:tab w:val="num" w:pos="9720"/>
        </w:tabs>
        <w:ind w:left="1134" w:hanging="567"/>
        <w:jc w:val="both"/>
        <w:rPr>
          <w:rFonts w:ascii="Tahoma" w:hAnsi="Tahoma" w:cs="Tahoma"/>
          <w:sz w:val="22"/>
          <w:szCs w:val="22"/>
        </w:rPr>
      </w:pPr>
      <w:r w:rsidRPr="005F215B">
        <w:rPr>
          <w:rFonts w:ascii="Tahoma" w:hAnsi="Tahoma" w:cs="Tahoma"/>
          <w:sz w:val="22"/>
          <w:szCs w:val="22"/>
        </w:rPr>
        <w:t>La Resolución Nº 1796-2010-TC-S1 de fecha 24 de setiembre del 2010, ha indicado que la Entidad ha cumplido con el procedimiento para la suscripción del contrato, al invocar como fundamento legal el artículo 203 del Reglamento de la Ley de Contrataciones y Adquisiciones del Estado, el cual establece que dentro de los cinco (05) días hábiles siguiente</w:t>
      </w:r>
      <w:r>
        <w:rPr>
          <w:rFonts w:ascii="Tahoma" w:hAnsi="Tahoma" w:cs="Tahoma"/>
          <w:sz w:val="22"/>
          <w:szCs w:val="22"/>
        </w:rPr>
        <w:t>s</w:t>
      </w:r>
      <w:r w:rsidRPr="005F215B">
        <w:rPr>
          <w:rFonts w:ascii="Tahoma" w:hAnsi="Tahoma" w:cs="Tahoma"/>
          <w:sz w:val="22"/>
          <w:szCs w:val="22"/>
        </w:rPr>
        <w:t xml:space="preserve"> al consentimiento de la Buena Pro, la Entidad debería haber citado al postor ganador, otorgándole un plazo de diez (10) días hábiles para suscribir el contrato.</w:t>
      </w:r>
    </w:p>
    <w:p w:rsidR="00C813D2" w:rsidRPr="005F215B" w:rsidRDefault="00C813D2" w:rsidP="00C813D2">
      <w:pPr>
        <w:tabs>
          <w:tab w:val="num" w:pos="9720"/>
        </w:tabs>
        <w:ind w:left="1134" w:hanging="567"/>
        <w:jc w:val="both"/>
        <w:rPr>
          <w:rFonts w:ascii="Tahoma" w:hAnsi="Tahoma" w:cs="Tahoma"/>
          <w:sz w:val="22"/>
          <w:szCs w:val="22"/>
        </w:rPr>
      </w:pPr>
    </w:p>
    <w:p w:rsidR="00C813D2" w:rsidRPr="005F215B" w:rsidRDefault="00C813D2" w:rsidP="00C813D2">
      <w:pPr>
        <w:pStyle w:val="Prrafodelista"/>
        <w:numPr>
          <w:ilvl w:val="0"/>
          <w:numId w:val="9"/>
        </w:numPr>
        <w:tabs>
          <w:tab w:val="num" w:pos="9720"/>
        </w:tabs>
        <w:ind w:left="1134" w:hanging="567"/>
        <w:jc w:val="both"/>
        <w:rPr>
          <w:rFonts w:ascii="Tahoma" w:hAnsi="Tahoma" w:cs="Tahoma"/>
          <w:sz w:val="22"/>
          <w:szCs w:val="22"/>
        </w:rPr>
      </w:pPr>
      <w:r w:rsidRPr="005F215B">
        <w:rPr>
          <w:rFonts w:ascii="Tahoma" w:hAnsi="Tahoma" w:cs="Tahoma"/>
          <w:sz w:val="22"/>
          <w:szCs w:val="22"/>
        </w:rPr>
        <w:t xml:space="preserve">No obstante ello, se debe precisar que mediante Decreto Supremo Nº 107-2007-PCM, publicado el 20 de </w:t>
      </w:r>
      <w:r>
        <w:rPr>
          <w:rFonts w:ascii="Tahoma" w:hAnsi="Tahoma" w:cs="Tahoma"/>
          <w:sz w:val="22"/>
          <w:szCs w:val="22"/>
        </w:rPr>
        <w:t>julio del 2007, norma vigente a</w:t>
      </w:r>
      <w:r w:rsidRPr="005F215B">
        <w:rPr>
          <w:rFonts w:ascii="Tahoma" w:hAnsi="Tahoma" w:cs="Tahoma"/>
          <w:sz w:val="22"/>
          <w:szCs w:val="22"/>
        </w:rPr>
        <w:t xml:space="preserve"> la fecha del otorgamiento de la Buena Pro, dicho artículo fue modificado, por lo cual se estableció que únicamente a los dos (02) días hábiles siguientes al consentimiento de la Buena Pro, la Entidad tiene que citar al adjudicatario para la suscripción del contrato, por lo tanto, la norma invocada en la resolución cuestionada, no es la que estaba vigente en la fecha que se otorgó la Buena Pro, es decir el 10 de agosto del 2007, toda vez que debió invocarse el artículo 203, modificado por el Decreto Supremo Nº 107-2007-PCM del 20 de juli</w:t>
      </w:r>
      <w:r>
        <w:rPr>
          <w:rFonts w:ascii="Tahoma" w:hAnsi="Tahoma" w:cs="Tahoma"/>
          <w:sz w:val="22"/>
          <w:szCs w:val="22"/>
        </w:rPr>
        <w:t>o del 200</w:t>
      </w:r>
      <w:r w:rsidRPr="005F215B">
        <w:rPr>
          <w:rFonts w:ascii="Tahoma" w:hAnsi="Tahoma" w:cs="Tahoma"/>
          <w:sz w:val="22"/>
          <w:szCs w:val="22"/>
        </w:rPr>
        <w:t>7.</w:t>
      </w:r>
    </w:p>
    <w:p w:rsidR="00C813D2" w:rsidRPr="005F215B" w:rsidRDefault="00C813D2" w:rsidP="00C813D2">
      <w:pPr>
        <w:tabs>
          <w:tab w:val="num" w:pos="9720"/>
        </w:tabs>
        <w:ind w:left="1134" w:hanging="567"/>
        <w:jc w:val="both"/>
        <w:rPr>
          <w:rFonts w:ascii="Tahoma" w:hAnsi="Tahoma" w:cs="Tahoma"/>
          <w:sz w:val="22"/>
          <w:szCs w:val="22"/>
        </w:rPr>
      </w:pPr>
    </w:p>
    <w:p w:rsidR="00C813D2" w:rsidRPr="005F215B" w:rsidRDefault="00C813D2" w:rsidP="00C813D2">
      <w:pPr>
        <w:pStyle w:val="Prrafodelista"/>
        <w:numPr>
          <w:ilvl w:val="0"/>
          <w:numId w:val="9"/>
        </w:numPr>
        <w:tabs>
          <w:tab w:val="num" w:pos="9720"/>
        </w:tabs>
        <w:ind w:left="1134" w:hanging="567"/>
        <w:jc w:val="both"/>
        <w:rPr>
          <w:rFonts w:ascii="Tahoma" w:hAnsi="Tahoma" w:cs="Tahoma"/>
          <w:sz w:val="22"/>
          <w:szCs w:val="22"/>
        </w:rPr>
      </w:pPr>
      <w:r w:rsidRPr="005F215B">
        <w:rPr>
          <w:rFonts w:ascii="Tahoma" w:hAnsi="Tahoma" w:cs="Tahoma"/>
          <w:sz w:val="22"/>
          <w:szCs w:val="22"/>
        </w:rPr>
        <w:t xml:space="preserve">En tal sentido, de la aplicación de la norma vigente, se puede advertir que </w:t>
      </w:r>
      <w:r w:rsidRPr="005F215B">
        <w:rPr>
          <w:rFonts w:ascii="Tahoma" w:hAnsi="Tahoma" w:cs="Tahoma"/>
          <w:sz w:val="22"/>
          <w:szCs w:val="22"/>
        </w:rPr>
        <w:lastRenderedPageBreak/>
        <w:t>los actos del proceso de selección por Adjudicación Directa Pública Nº 001-2007-MM, se debieron dar de la siguiente manera:</w:t>
      </w:r>
    </w:p>
    <w:p w:rsidR="00C813D2" w:rsidRPr="005F215B" w:rsidRDefault="00C813D2" w:rsidP="00C813D2">
      <w:pPr>
        <w:tabs>
          <w:tab w:val="num" w:pos="9720"/>
        </w:tabs>
        <w:jc w:val="both"/>
        <w:rPr>
          <w:rFonts w:ascii="Tahoma" w:hAnsi="Tahoma" w:cs="Tahoma"/>
          <w:sz w:val="22"/>
          <w:szCs w:val="22"/>
        </w:rPr>
      </w:pPr>
    </w:p>
    <w:p w:rsidR="00C813D2" w:rsidRPr="005F215B" w:rsidRDefault="00C813D2" w:rsidP="00C813D2">
      <w:pPr>
        <w:pStyle w:val="Prrafodelista"/>
        <w:numPr>
          <w:ilvl w:val="0"/>
          <w:numId w:val="10"/>
        </w:numPr>
        <w:tabs>
          <w:tab w:val="num" w:pos="9720"/>
        </w:tabs>
        <w:ind w:left="1560" w:hanging="426"/>
        <w:jc w:val="both"/>
        <w:rPr>
          <w:rFonts w:ascii="Tahoma" w:hAnsi="Tahoma" w:cs="Tahoma"/>
          <w:sz w:val="22"/>
          <w:szCs w:val="22"/>
        </w:rPr>
      </w:pPr>
      <w:r w:rsidRPr="005F215B">
        <w:rPr>
          <w:rFonts w:ascii="Tahoma" w:hAnsi="Tahoma" w:cs="Tahoma"/>
          <w:sz w:val="22"/>
          <w:szCs w:val="22"/>
        </w:rPr>
        <w:t>El acto público de la presentación de propuestas se llevó a cabo el 08 de agosto del 2007</w:t>
      </w:r>
    </w:p>
    <w:p w:rsidR="00C813D2" w:rsidRPr="005F215B" w:rsidRDefault="00C813D2" w:rsidP="00C813D2">
      <w:pPr>
        <w:tabs>
          <w:tab w:val="num" w:pos="9720"/>
        </w:tabs>
        <w:ind w:left="1560" w:hanging="426"/>
        <w:jc w:val="both"/>
        <w:rPr>
          <w:rFonts w:ascii="Tahoma" w:hAnsi="Tahoma" w:cs="Tahoma"/>
          <w:sz w:val="22"/>
          <w:szCs w:val="22"/>
        </w:rPr>
      </w:pPr>
    </w:p>
    <w:p w:rsidR="00C813D2" w:rsidRPr="005F215B" w:rsidRDefault="00C813D2" w:rsidP="00C813D2">
      <w:pPr>
        <w:pStyle w:val="Prrafodelista"/>
        <w:numPr>
          <w:ilvl w:val="0"/>
          <w:numId w:val="10"/>
        </w:numPr>
        <w:tabs>
          <w:tab w:val="num" w:pos="9720"/>
        </w:tabs>
        <w:ind w:left="1560" w:hanging="426"/>
        <w:jc w:val="both"/>
        <w:rPr>
          <w:rFonts w:ascii="Tahoma" w:hAnsi="Tahoma" w:cs="Tahoma"/>
          <w:sz w:val="22"/>
          <w:szCs w:val="22"/>
        </w:rPr>
      </w:pPr>
      <w:r w:rsidRPr="005F215B">
        <w:rPr>
          <w:rFonts w:ascii="Tahoma" w:hAnsi="Tahoma" w:cs="Tahoma"/>
          <w:sz w:val="22"/>
          <w:szCs w:val="22"/>
        </w:rPr>
        <w:t>Luego, el 10 de agosto del 2007, se llevó a cabo el acto público de otorgamiento de la Buena Pro.</w:t>
      </w:r>
    </w:p>
    <w:p w:rsidR="00C813D2" w:rsidRPr="005F215B" w:rsidRDefault="00C813D2" w:rsidP="00C813D2">
      <w:pPr>
        <w:tabs>
          <w:tab w:val="num" w:pos="9720"/>
        </w:tabs>
        <w:ind w:left="1560" w:hanging="426"/>
        <w:jc w:val="both"/>
        <w:rPr>
          <w:rFonts w:ascii="Tahoma" w:hAnsi="Tahoma" w:cs="Tahoma"/>
          <w:sz w:val="22"/>
          <w:szCs w:val="22"/>
        </w:rPr>
      </w:pPr>
    </w:p>
    <w:p w:rsidR="00C813D2" w:rsidRPr="005F215B" w:rsidRDefault="00C813D2" w:rsidP="00C813D2">
      <w:pPr>
        <w:pStyle w:val="Prrafodelista"/>
        <w:numPr>
          <w:ilvl w:val="0"/>
          <w:numId w:val="10"/>
        </w:numPr>
        <w:tabs>
          <w:tab w:val="num" w:pos="9720"/>
        </w:tabs>
        <w:ind w:left="1560" w:hanging="426"/>
        <w:jc w:val="both"/>
        <w:rPr>
          <w:rFonts w:ascii="Tahoma" w:hAnsi="Tahoma" w:cs="Tahoma"/>
          <w:sz w:val="22"/>
          <w:szCs w:val="22"/>
        </w:rPr>
      </w:pPr>
      <w:r w:rsidRPr="005F215B">
        <w:rPr>
          <w:rFonts w:ascii="Tahoma" w:hAnsi="Tahoma" w:cs="Tahoma"/>
          <w:sz w:val="22"/>
          <w:szCs w:val="22"/>
        </w:rPr>
        <w:t>Al haberse presentado dos o más propuestas en el ítem Nº 02, se consintió la Buena Pro del mismo a los ocho (08) días del acto público, es decir el 22 de agosto del 2007.</w:t>
      </w:r>
    </w:p>
    <w:p w:rsidR="00C813D2" w:rsidRPr="005F215B" w:rsidRDefault="00C813D2" w:rsidP="00C813D2">
      <w:pPr>
        <w:tabs>
          <w:tab w:val="num" w:pos="9720"/>
        </w:tabs>
        <w:ind w:left="1560" w:hanging="426"/>
        <w:jc w:val="both"/>
        <w:rPr>
          <w:rFonts w:ascii="Tahoma" w:hAnsi="Tahoma" w:cs="Tahoma"/>
          <w:sz w:val="22"/>
          <w:szCs w:val="22"/>
        </w:rPr>
      </w:pPr>
    </w:p>
    <w:p w:rsidR="00C813D2" w:rsidRPr="005F215B" w:rsidRDefault="00C813D2" w:rsidP="00C813D2">
      <w:pPr>
        <w:pStyle w:val="Prrafodelista"/>
        <w:numPr>
          <w:ilvl w:val="0"/>
          <w:numId w:val="10"/>
        </w:numPr>
        <w:tabs>
          <w:tab w:val="num" w:pos="9720"/>
        </w:tabs>
        <w:ind w:left="1560" w:hanging="426"/>
        <w:jc w:val="both"/>
        <w:rPr>
          <w:rFonts w:ascii="Tahoma" w:hAnsi="Tahoma" w:cs="Tahoma"/>
          <w:sz w:val="22"/>
          <w:szCs w:val="22"/>
        </w:rPr>
      </w:pPr>
      <w:r w:rsidRPr="005F215B">
        <w:rPr>
          <w:rFonts w:ascii="Tahoma" w:hAnsi="Tahoma" w:cs="Tahoma"/>
          <w:sz w:val="22"/>
          <w:szCs w:val="22"/>
        </w:rPr>
        <w:t>En tal sentido, la Entidad debió notificarle para la suscripción del contrato el 23 y 24 de agosto del 2007, no obstante ello, la citación se realizó el 27 de agosto del 2007.</w:t>
      </w:r>
    </w:p>
    <w:p w:rsidR="00C813D2" w:rsidRPr="005F215B" w:rsidRDefault="00C813D2" w:rsidP="00C813D2">
      <w:pPr>
        <w:tabs>
          <w:tab w:val="num" w:pos="9720"/>
        </w:tabs>
        <w:ind w:left="567"/>
        <w:jc w:val="both"/>
        <w:rPr>
          <w:rFonts w:ascii="Tahoma" w:hAnsi="Tahoma" w:cs="Tahoma"/>
          <w:sz w:val="22"/>
          <w:szCs w:val="22"/>
        </w:rPr>
      </w:pPr>
    </w:p>
    <w:p w:rsidR="00C813D2" w:rsidRPr="005F215B" w:rsidRDefault="00C813D2" w:rsidP="00C813D2">
      <w:pPr>
        <w:pStyle w:val="Prrafodelista"/>
        <w:numPr>
          <w:ilvl w:val="0"/>
          <w:numId w:val="9"/>
        </w:numPr>
        <w:tabs>
          <w:tab w:val="num" w:pos="9720"/>
        </w:tabs>
        <w:ind w:left="1134" w:hanging="567"/>
        <w:jc w:val="both"/>
        <w:rPr>
          <w:rFonts w:ascii="Tahoma" w:hAnsi="Tahoma" w:cs="Tahoma"/>
          <w:sz w:val="22"/>
          <w:szCs w:val="22"/>
        </w:rPr>
      </w:pPr>
      <w:r w:rsidRPr="005F215B">
        <w:rPr>
          <w:rFonts w:ascii="Tahoma" w:hAnsi="Tahoma" w:cs="Tahoma"/>
          <w:sz w:val="22"/>
          <w:szCs w:val="22"/>
        </w:rPr>
        <w:t>Por lo tanto, la Entidad no ha respetado el procedimiento para la suscripción del contrato consignado en el artículo 203 del Reglamento, hecho por el cual no se debió haber procedido a imponer sanción administrativa, en aplicación del Acuerdo de Sala Plena Nº 007-2009 de fecha 25 de junio del 2009, por lo cual se debe declarar la nulidad de la Resolución Nº 1796-2010-TC-S1 de fecha 24 de setiembre del 2010 y se disponga el archivamiento definitivo del presente expediente.</w:t>
      </w:r>
    </w:p>
    <w:p w:rsidR="00C813D2" w:rsidRDefault="00C813D2" w:rsidP="00C813D2">
      <w:pPr>
        <w:tabs>
          <w:tab w:val="num" w:pos="9720"/>
        </w:tabs>
        <w:ind w:left="567"/>
        <w:jc w:val="both"/>
        <w:rPr>
          <w:rFonts w:ascii="Tahoma" w:hAnsi="Tahoma" w:cs="Tahoma"/>
          <w:b/>
          <w:sz w:val="22"/>
          <w:szCs w:val="22"/>
        </w:rPr>
      </w:pPr>
    </w:p>
    <w:p w:rsidR="00C813D2" w:rsidRDefault="00C813D2" w:rsidP="00C813D2">
      <w:pPr>
        <w:widowControl w:val="0"/>
        <w:numPr>
          <w:ilvl w:val="0"/>
          <w:numId w:val="6"/>
        </w:numPr>
        <w:tabs>
          <w:tab w:val="clear" w:pos="1065"/>
        </w:tabs>
        <w:suppressAutoHyphens/>
        <w:ind w:left="540" w:hanging="540"/>
        <w:jc w:val="both"/>
        <w:rPr>
          <w:rFonts w:ascii="Tahoma" w:hAnsi="Tahoma" w:cs="Tahoma"/>
          <w:sz w:val="22"/>
          <w:szCs w:val="22"/>
        </w:rPr>
      </w:pPr>
      <w:r>
        <w:rPr>
          <w:rFonts w:ascii="Tahoma" w:hAnsi="Tahoma" w:cs="Tahoma"/>
          <w:sz w:val="22"/>
          <w:szCs w:val="22"/>
        </w:rPr>
        <w:t xml:space="preserve">A través del escrito presentado el 30 de mayo del 2011, </w:t>
      </w:r>
      <w:r w:rsidRPr="005F215B">
        <w:rPr>
          <w:rFonts w:ascii="Tahoma" w:hAnsi="Tahoma" w:cs="Tahoma"/>
          <w:sz w:val="22"/>
          <w:szCs w:val="22"/>
        </w:rPr>
        <w:t>el Postor</w:t>
      </w:r>
      <w:r>
        <w:rPr>
          <w:rFonts w:ascii="Tahoma" w:hAnsi="Tahoma" w:cs="Tahoma"/>
          <w:sz w:val="22"/>
          <w:szCs w:val="22"/>
        </w:rPr>
        <w:t xml:space="preserve"> señaló lo siguiente:</w:t>
      </w:r>
    </w:p>
    <w:p w:rsidR="00C813D2" w:rsidRPr="005360F2" w:rsidRDefault="00C813D2" w:rsidP="00C813D2">
      <w:pPr>
        <w:pStyle w:val="Prrafodelista"/>
        <w:numPr>
          <w:ilvl w:val="0"/>
          <w:numId w:val="11"/>
        </w:numPr>
        <w:ind w:left="1134" w:hanging="567"/>
        <w:jc w:val="both"/>
        <w:rPr>
          <w:rFonts w:ascii="Tahoma" w:hAnsi="Tahoma" w:cs="Tahoma"/>
          <w:sz w:val="22"/>
          <w:szCs w:val="22"/>
        </w:rPr>
      </w:pPr>
      <w:r w:rsidRPr="005360F2">
        <w:rPr>
          <w:rFonts w:ascii="Tahoma" w:hAnsi="Tahoma" w:cs="Tahoma"/>
          <w:sz w:val="22"/>
          <w:szCs w:val="22"/>
        </w:rPr>
        <w:t>El artículo 27 de la Ley Nº 27444, Ley del Procedimiento Administrativo General, se refiere a las notificaciones defectuosas por omisión de alguno de los requisitos de contenido, los mismos que se detallan en el artículo 24 de dicha Ley, que están referidos a la forma y no a las modalidades de notificación.</w:t>
      </w:r>
    </w:p>
    <w:p w:rsidR="00C813D2" w:rsidRDefault="00C813D2" w:rsidP="00C813D2">
      <w:pPr>
        <w:ind w:left="1134" w:hanging="567"/>
        <w:jc w:val="both"/>
        <w:rPr>
          <w:rFonts w:ascii="Tahoma" w:hAnsi="Tahoma" w:cs="Tahoma"/>
          <w:sz w:val="22"/>
          <w:szCs w:val="22"/>
        </w:rPr>
      </w:pPr>
    </w:p>
    <w:p w:rsidR="00C813D2" w:rsidRPr="005360F2" w:rsidRDefault="00C813D2" w:rsidP="00C813D2">
      <w:pPr>
        <w:pStyle w:val="Prrafodelista"/>
        <w:numPr>
          <w:ilvl w:val="0"/>
          <w:numId w:val="11"/>
        </w:numPr>
        <w:ind w:left="1134" w:hanging="567"/>
        <w:jc w:val="both"/>
        <w:rPr>
          <w:rFonts w:ascii="Tahoma" w:hAnsi="Tahoma" w:cs="Tahoma"/>
          <w:sz w:val="22"/>
          <w:szCs w:val="22"/>
        </w:rPr>
      </w:pPr>
      <w:r w:rsidRPr="005360F2">
        <w:rPr>
          <w:rFonts w:ascii="Tahoma" w:hAnsi="Tahoma" w:cs="Tahoma"/>
          <w:sz w:val="22"/>
          <w:szCs w:val="22"/>
        </w:rPr>
        <w:t>En tal sentido, teniendo en consideración que la notificación mediante la cual la Entidad lo citó para la suscripción del contrato, no adolece de alguno de sus requisitos, sino que se realizó a través de una modalidad (faximil) que no debió haber sido empleada, por lo cual no era de aplicación en el presente caso el artículo 27 de la Ley Nº 27444, encontrándonos ante una notificación viciada o nula, la misma que no puede ser subsanada bajo ningún motivo o circunstancia, según lo dispuesto en el artículo 20 de dicha Ley, al disponer que no se podrá suplir alguna modalidad de notificación con otra, bajo sanción de nulidad de dicha notificación.</w:t>
      </w:r>
    </w:p>
    <w:p w:rsidR="00C813D2" w:rsidRDefault="00C813D2" w:rsidP="00C813D2">
      <w:pPr>
        <w:ind w:left="1134" w:hanging="567"/>
        <w:jc w:val="both"/>
        <w:rPr>
          <w:rFonts w:ascii="Tahoma" w:hAnsi="Tahoma" w:cs="Tahoma"/>
          <w:sz w:val="22"/>
          <w:szCs w:val="22"/>
        </w:rPr>
      </w:pPr>
    </w:p>
    <w:p w:rsidR="00C813D2" w:rsidRDefault="00C813D2" w:rsidP="00C813D2">
      <w:pPr>
        <w:pStyle w:val="Prrafodelista"/>
        <w:numPr>
          <w:ilvl w:val="0"/>
          <w:numId w:val="11"/>
        </w:numPr>
        <w:ind w:left="1134" w:hanging="567"/>
        <w:jc w:val="both"/>
        <w:rPr>
          <w:rFonts w:ascii="Tahoma" w:hAnsi="Tahoma" w:cs="Tahoma"/>
          <w:sz w:val="22"/>
          <w:szCs w:val="22"/>
        </w:rPr>
      </w:pPr>
      <w:r w:rsidRPr="005360F2">
        <w:rPr>
          <w:rFonts w:ascii="Tahoma" w:hAnsi="Tahoma" w:cs="Tahoma"/>
          <w:sz w:val="22"/>
          <w:szCs w:val="22"/>
        </w:rPr>
        <w:t xml:space="preserve">Finalmente, señaló que en el presente caso, erróneamente se ha invocado </w:t>
      </w:r>
      <w:r w:rsidRPr="005360F2">
        <w:rPr>
          <w:rFonts w:ascii="Tahoma" w:hAnsi="Tahoma" w:cs="Tahoma"/>
          <w:sz w:val="22"/>
          <w:szCs w:val="22"/>
        </w:rPr>
        <w:lastRenderedPageBreak/>
        <w:t>el artículo 27 de manera parcial, toda vez que consta de 2 incisos, el primero detalla de manera específica la circunstancias en que se puede sanear una notificación defectuosa por omisión de alguno de sus requisitos de contenido, mientras que el segundo, de manera complementaria, se refiere a otras modalidades por las que se puede tener por bien notificado al administrado pese a que exista una omisión de contenido, es decir, este último inciso se circunscribe únicamente a los previsto en el inciso primero y no para sanear o convalidar la modalidad de notificación, como ha ocurrido en el presente caso.</w:t>
      </w:r>
    </w:p>
    <w:p w:rsidR="00C813D2" w:rsidRPr="00D2682D" w:rsidRDefault="00C813D2" w:rsidP="00C813D2">
      <w:pPr>
        <w:pStyle w:val="Prrafodelista"/>
        <w:rPr>
          <w:rFonts w:ascii="Tahoma" w:hAnsi="Tahoma" w:cs="Tahoma"/>
          <w:sz w:val="22"/>
          <w:szCs w:val="22"/>
        </w:rPr>
      </w:pPr>
    </w:p>
    <w:p w:rsidR="00C813D2" w:rsidRDefault="00C813D2" w:rsidP="00C813D2">
      <w:pPr>
        <w:widowControl w:val="0"/>
        <w:numPr>
          <w:ilvl w:val="0"/>
          <w:numId w:val="6"/>
        </w:numPr>
        <w:tabs>
          <w:tab w:val="clear" w:pos="1065"/>
        </w:tabs>
        <w:suppressAutoHyphens/>
        <w:ind w:left="540" w:hanging="540"/>
        <w:jc w:val="both"/>
        <w:rPr>
          <w:rFonts w:ascii="Tahoma" w:hAnsi="Tahoma" w:cs="Tahoma"/>
          <w:sz w:val="22"/>
          <w:szCs w:val="22"/>
        </w:rPr>
      </w:pPr>
      <w:r>
        <w:rPr>
          <w:rFonts w:ascii="Tahoma" w:hAnsi="Tahoma" w:cs="Tahoma"/>
          <w:sz w:val="22"/>
          <w:szCs w:val="22"/>
        </w:rPr>
        <w:t>Mediante escrito presentado el 06 de junio del 2011, el Postor solicitó se evalúe el estado de indefensión en la que se encontraba debido a que no fue notificado de la Resolución de Sanción Nº 1796-2010-TC-S1 del 24 de setiembre del 2010, lo que impidió que oportunamente interponga el Recurso de Reconsideración, toda vez que del cargo de la Cédula de Notificación Nº 24270/2010.TC que obra en el expediente, se advierte que ha sido recibido por una señora de nombre “Cristina Collantes”, persona que no conoce ni tiene vínculo con su representada, ni sus representantes, por lo que dicha notificación nunca fue recibida, prueba de ello es que el cargo de dicha cédula no aparece el sello de recibido de la empresa o su representante.</w:t>
      </w:r>
    </w:p>
    <w:p w:rsidR="00C813D2" w:rsidRDefault="00C813D2" w:rsidP="00C813D2">
      <w:pPr>
        <w:ind w:left="540"/>
        <w:jc w:val="both"/>
        <w:rPr>
          <w:rFonts w:ascii="Tahoma" w:hAnsi="Tahoma" w:cs="Tahoma"/>
          <w:sz w:val="22"/>
          <w:szCs w:val="22"/>
        </w:rPr>
      </w:pPr>
    </w:p>
    <w:p w:rsidR="00C813D2" w:rsidRPr="00FF30FB" w:rsidRDefault="00C813D2" w:rsidP="00C813D2">
      <w:pPr>
        <w:widowControl w:val="0"/>
        <w:numPr>
          <w:ilvl w:val="0"/>
          <w:numId w:val="6"/>
        </w:numPr>
        <w:tabs>
          <w:tab w:val="clear" w:pos="1065"/>
        </w:tabs>
        <w:suppressAutoHyphens/>
        <w:ind w:left="540" w:hanging="540"/>
        <w:jc w:val="both"/>
        <w:rPr>
          <w:rFonts w:ascii="Tahoma" w:hAnsi="Tahoma" w:cs="Tahoma"/>
          <w:sz w:val="22"/>
          <w:szCs w:val="22"/>
        </w:rPr>
      </w:pPr>
      <w:r>
        <w:rPr>
          <w:rFonts w:ascii="Tahoma" w:hAnsi="Tahoma" w:cs="Tahoma"/>
          <w:sz w:val="22"/>
          <w:szCs w:val="22"/>
        </w:rPr>
        <w:t>A través del escrito presentado el 16 de junio del 2011, el Postor adjuntó la Constancia expedida por su Contador, la señora María Teodolinda Castro Rodríguez, mediante la cual y, bajo declaración jurada, dejó constancia que la persona “Cristina Collantes” nunca ha laborado ni ha tenido vínculo laboral alguno con el Postor, por lo cual, adjuntaron la planilla de trabajadores correspondiente a los meses de Julio a Diciembre del 2010; acreditando con ello que no ha tomado conocimiento de la Resolución de Sanción, por lo cual nunca tuvo posibilidad de interponer los mecanismos legales necesarios en resguardo a sus intereses.</w:t>
      </w:r>
    </w:p>
    <w:p w:rsidR="00C813D2" w:rsidRPr="003741BC" w:rsidRDefault="00C813D2" w:rsidP="00C813D2">
      <w:pPr>
        <w:rPr>
          <w:rFonts w:ascii="Tahoma" w:hAnsi="Tahoma" w:cs="Tahoma"/>
          <w:b/>
          <w:sz w:val="21"/>
          <w:szCs w:val="21"/>
        </w:rPr>
      </w:pPr>
    </w:p>
    <w:p w:rsidR="00C813D2" w:rsidRPr="00D00ECC" w:rsidRDefault="00C813D2" w:rsidP="00C813D2">
      <w:pPr>
        <w:pStyle w:val="Prrafodelista"/>
        <w:ind w:left="567"/>
        <w:rPr>
          <w:rFonts w:ascii="Tahoma" w:hAnsi="Tahoma" w:cs="Tahoma"/>
          <w:b/>
          <w:sz w:val="21"/>
          <w:szCs w:val="21"/>
        </w:rPr>
      </w:pPr>
      <w:r w:rsidRPr="00D00ECC">
        <w:rPr>
          <w:rFonts w:ascii="Tahoma" w:hAnsi="Tahoma" w:cs="Tahoma"/>
          <w:b/>
          <w:sz w:val="21"/>
          <w:szCs w:val="21"/>
        </w:rPr>
        <w:t>FUNDAMENTACIÓN</w:t>
      </w:r>
    </w:p>
    <w:p w:rsidR="00C813D2" w:rsidRPr="00D00ECC" w:rsidRDefault="00C813D2" w:rsidP="00C813D2">
      <w:pPr>
        <w:ind w:left="426"/>
        <w:jc w:val="both"/>
        <w:rPr>
          <w:rFonts w:ascii="Tahoma" w:hAnsi="Tahoma" w:cs="Tahoma"/>
          <w:sz w:val="21"/>
          <w:szCs w:val="21"/>
          <w:lang w:eastAsia="es-PE"/>
        </w:rPr>
      </w:pPr>
    </w:p>
    <w:p w:rsidR="00C813D2" w:rsidRDefault="00C813D2" w:rsidP="00C813D2">
      <w:pPr>
        <w:numPr>
          <w:ilvl w:val="0"/>
          <w:numId w:val="12"/>
        </w:numPr>
        <w:ind w:left="567" w:hanging="567"/>
        <w:jc w:val="both"/>
        <w:rPr>
          <w:rFonts w:ascii="Tahoma" w:hAnsi="Tahoma" w:cs="Tahoma"/>
          <w:sz w:val="22"/>
          <w:szCs w:val="22"/>
          <w:lang w:val="es-PE"/>
        </w:rPr>
      </w:pPr>
      <w:r w:rsidRPr="005F215B">
        <w:rPr>
          <w:rFonts w:ascii="Tahoma" w:hAnsi="Tahoma" w:cs="Tahoma"/>
          <w:sz w:val="22"/>
          <w:szCs w:val="22"/>
          <w:lang w:val="es-PE"/>
        </w:rPr>
        <w:t xml:space="preserve">La nulidad es entendida como el castigo jurídico para los actos incursos en alguna causal privativa de los efectos jurídicos aspirados por su autor, el mismo que se produce a consecuencia de la Contravención a la Constitución, a las leyes o a las normas reglamentarias, por el defecto o la omisión de alguno de sus requisitos de validez, salvo que se presente alguno de los supuestos de conservación del acto a que se refiere el artículo 14, los actos expresos o los que resulten como consecuencia de la aprobación automática o por silencio administrativo positivo, por lo que se adquiere facultades, o derechos, cuando son contrarios al ordenamiento jurídico, o cuando no se cumplen con los requisitos, documentación o trámites esenciales para su adquisición y por lo actos administrativos que sean constitutivos de infracción penal, o que se dicten como consecuencia de la misma, dichas causales están regulados de manera </w:t>
      </w:r>
      <w:r w:rsidRPr="005F215B">
        <w:rPr>
          <w:rFonts w:ascii="Tahoma" w:hAnsi="Tahoma" w:cs="Tahoma"/>
          <w:sz w:val="22"/>
          <w:szCs w:val="22"/>
          <w:lang w:val="es-PE"/>
        </w:rPr>
        <w:lastRenderedPageBreak/>
        <w:t>taxativa y de interpretación restrictiva en el artículo 10 de la Ley del Procedimiento Administrativo General, Ley Nº 27444.</w:t>
      </w:r>
    </w:p>
    <w:p w:rsidR="00C813D2" w:rsidRPr="005F215B" w:rsidRDefault="00C813D2" w:rsidP="00C813D2">
      <w:pPr>
        <w:ind w:left="567"/>
        <w:jc w:val="both"/>
        <w:rPr>
          <w:rFonts w:ascii="Tahoma" w:hAnsi="Tahoma" w:cs="Tahoma"/>
          <w:sz w:val="22"/>
          <w:szCs w:val="22"/>
          <w:lang w:val="es-PE"/>
        </w:rPr>
      </w:pPr>
    </w:p>
    <w:p w:rsidR="00C813D2" w:rsidRPr="00B30F39" w:rsidRDefault="00C813D2" w:rsidP="00C813D2">
      <w:pPr>
        <w:ind w:left="567"/>
        <w:jc w:val="both"/>
        <w:rPr>
          <w:rFonts w:ascii="Tahoma" w:hAnsi="Tahoma" w:cs="Tahoma"/>
          <w:b/>
          <w:sz w:val="22"/>
          <w:szCs w:val="22"/>
          <w:lang w:val="es-PE"/>
        </w:rPr>
      </w:pPr>
      <w:r w:rsidRPr="00B30F39">
        <w:rPr>
          <w:rFonts w:ascii="Tahoma" w:hAnsi="Tahoma" w:cs="Tahoma"/>
          <w:b/>
          <w:sz w:val="22"/>
          <w:szCs w:val="22"/>
          <w:lang w:val="es-PE"/>
        </w:rPr>
        <w:t xml:space="preserve">SOBRE LA NOTIFICACIÓN DE LA RESOLUCIÓN </w:t>
      </w:r>
      <w:r w:rsidRPr="00B30F39">
        <w:rPr>
          <w:rFonts w:ascii="Tahoma" w:hAnsi="Tahoma" w:cs="Tahoma"/>
          <w:b/>
          <w:sz w:val="22"/>
          <w:szCs w:val="22"/>
        </w:rPr>
        <w:t>Nº 1796-2010-TC-S1 DEL 24 DE SETIEMBRE DEL 2010</w:t>
      </w:r>
    </w:p>
    <w:p w:rsidR="00C813D2" w:rsidRDefault="00C813D2" w:rsidP="00C813D2">
      <w:pPr>
        <w:ind w:left="567"/>
        <w:jc w:val="both"/>
        <w:rPr>
          <w:rFonts w:ascii="Tahoma" w:hAnsi="Tahoma" w:cs="Tahoma"/>
          <w:sz w:val="22"/>
          <w:szCs w:val="22"/>
          <w:lang w:val="es-PE"/>
        </w:rPr>
      </w:pPr>
    </w:p>
    <w:p w:rsidR="00C813D2" w:rsidRPr="00B30F39" w:rsidRDefault="00C813D2" w:rsidP="00C813D2">
      <w:pPr>
        <w:numPr>
          <w:ilvl w:val="0"/>
          <w:numId w:val="12"/>
        </w:numPr>
        <w:ind w:left="567" w:hanging="567"/>
        <w:jc w:val="both"/>
        <w:rPr>
          <w:rFonts w:ascii="Tahoma" w:hAnsi="Tahoma" w:cs="Tahoma"/>
          <w:sz w:val="22"/>
          <w:szCs w:val="22"/>
          <w:lang w:val="es-PE"/>
        </w:rPr>
      </w:pPr>
      <w:r w:rsidRPr="00B30F39">
        <w:rPr>
          <w:rFonts w:ascii="Tahoma" w:hAnsi="Tahoma" w:cs="Tahoma"/>
          <w:sz w:val="22"/>
          <w:szCs w:val="22"/>
          <w:lang w:val="es-PE"/>
        </w:rPr>
        <w:t>E</w:t>
      </w:r>
      <w:r w:rsidRPr="00B30F39">
        <w:rPr>
          <w:rFonts w:ascii="Tahoma" w:hAnsi="Tahoma" w:cs="Tahoma"/>
          <w:sz w:val="22"/>
          <w:szCs w:val="22"/>
        </w:rPr>
        <w:t>l Postor solicitó se evalúe el estado de indefensión en la que se encontraba debido a que no fue notificado de la Resolución de Sanción Nº 1796-2010-TC-S1 del 24 de setiembre del 2010, lo que impidió que oportunamente interponga el Recurso de Reconsideración, toda vez que del cargo de la Cédula de Notificación Nº 24270/2010.TC que obra en el expediente, se advierte que ha sido recibido por una señora de nombre “Cristina Collantes”, persona que no conoce ni tiene vínculo con su representada, ni sus representantes, por lo que dicha notificación nunca fue recibida, prueba de ello es que el cargo de dicha cédula no aparece el sello de recibido de la empresa o su representante.</w:t>
      </w:r>
    </w:p>
    <w:p w:rsidR="00C813D2" w:rsidRDefault="00C813D2" w:rsidP="00C813D2">
      <w:pPr>
        <w:ind w:left="567"/>
        <w:jc w:val="both"/>
        <w:rPr>
          <w:rFonts w:ascii="Tahoma" w:hAnsi="Tahoma" w:cs="Tahoma"/>
          <w:sz w:val="22"/>
          <w:szCs w:val="22"/>
          <w:lang w:val="es-PE"/>
        </w:rPr>
      </w:pPr>
    </w:p>
    <w:p w:rsidR="00C813D2" w:rsidRDefault="00C813D2" w:rsidP="00C813D2">
      <w:pPr>
        <w:numPr>
          <w:ilvl w:val="0"/>
          <w:numId w:val="12"/>
        </w:numPr>
        <w:ind w:left="567" w:hanging="567"/>
        <w:jc w:val="both"/>
        <w:rPr>
          <w:rFonts w:ascii="Tahoma" w:hAnsi="Tahoma" w:cs="Tahoma"/>
          <w:sz w:val="22"/>
          <w:szCs w:val="22"/>
          <w:lang w:val="es-PE"/>
        </w:rPr>
      </w:pPr>
      <w:r w:rsidRPr="00045199">
        <w:rPr>
          <w:rFonts w:ascii="Tahoma" w:hAnsi="Tahoma" w:cs="Tahoma"/>
          <w:sz w:val="22"/>
          <w:szCs w:val="22"/>
          <w:lang w:val="es-PE"/>
        </w:rPr>
        <w:t>Al respecto, se debe señalar que el artículo 21 de la Ley de Procedimiento Administrativo General, Ley 27444, respecto al régimen de la notificación personal, establece que la notificación persona</w:t>
      </w:r>
      <w:r>
        <w:rPr>
          <w:rFonts w:ascii="Tahoma" w:hAnsi="Tahoma" w:cs="Tahoma"/>
          <w:sz w:val="22"/>
          <w:szCs w:val="22"/>
          <w:lang w:val="es-PE"/>
        </w:rPr>
        <w:t>l</w:t>
      </w:r>
      <w:r w:rsidRPr="00045199">
        <w:rPr>
          <w:rFonts w:ascii="Tahoma" w:hAnsi="Tahoma" w:cs="Tahoma"/>
          <w:sz w:val="22"/>
          <w:szCs w:val="22"/>
          <w:lang w:val="es-PE"/>
        </w:rPr>
        <w:t xml:space="preserve"> se hará en el domicilio que conste en el expediente, o en el último domicilio que la persona a quien debe notificar haya señalado </w:t>
      </w:r>
      <w:r>
        <w:rPr>
          <w:rFonts w:ascii="Tahoma" w:hAnsi="Tahoma" w:cs="Tahoma"/>
          <w:sz w:val="22"/>
          <w:szCs w:val="22"/>
          <w:lang w:val="es-PE"/>
        </w:rPr>
        <w:t>ante el órgano administrativo en otro procedimiento análogo en la propia entidad dentro del último año.</w:t>
      </w:r>
    </w:p>
    <w:p w:rsidR="00C813D2" w:rsidRDefault="00C813D2" w:rsidP="00C813D2">
      <w:pPr>
        <w:pStyle w:val="Prrafodelista"/>
        <w:rPr>
          <w:rFonts w:ascii="Tahoma" w:hAnsi="Tahoma" w:cs="Tahoma"/>
          <w:sz w:val="22"/>
          <w:szCs w:val="22"/>
          <w:lang w:val="es-PE"/>
        </w:rPr>
      </w:pPr>
    </w:p>
    <w:p w:rsidR="00C813D2" w:rsidRDefault="00C813D2" w:rsidP="00C813D2">
      <w:pPr>
        <w:numPr>
          <w:ilvl w:val="0"/>
          <w:numId w:val="12"/>
        </w:numPr>
        <w:ind w:left="567" w:hanging="567"/>
        <w:jc w:val="both"/>
        <w:rPr>
          <w:rFonts w:ascii="Tahoma" w:hAnsi="Tahoma" w:cs="Tahoma"/>
          <w:sz w:val="22"/>
          <w:szCs w:val="22"/>
          <w:lang w:val="es-PE"/>
        </w:rPr>
      </w:pPr>
      <w:r>
        <w:rPr>
          <w:rFonts w:ascii="Tahoma" w:hAnsi="Tahoma" w:cs="Tahoma"/>
          <w:sz w:val="22"/>
          <w:szCs w:val="22"/>
          <w:lang w:val="es-PE"/>
        </w:rPr>
        <w:t>Cabe precisar que la notificación es un acto esencial del procedimiento ligado al debido procedimiento, por lo cual, tal como lo indica Juan Carlos Morón Urbina</w:t>
      </w:r>
      <w:r>
        <w:rPr>
          <w:rStyle w:val="Refdenotaalpie"/>
          <w:rFonts w:ascii="Tahoma" w:hAnsi="Tahoma" w:cs="Tahoma"/>
          <w:sz w:val="22"/>
          <w:szCs w:val="22"/>
          <w:lang w:val="es-PE"/>
        </w:rPr>
        <w:footnoteReference w:id="2"/>
      </w:r>
      <w:r>
        <w:rPr>
          <w:rFonts w:ascii="Tahoma" w:hAnsi="Tahoma" w:cs="Tahoma"/>
          <w:sz w:val="22"/>
          <w:szCs w:val="22"/>
          <w:lang w:val="es-PE"/>
        </w:rPr>
        <w:t xml:space="preserve"> se exige a la Administración que la diligencia de notificación sea debidamente documentado, para evidenciar su escrupuloso respeto al derecho del Administrado, por lo cual se deberá dejar constancia de la resolución o acto que se notifica, la fecha y hora de su realización, y el nombre y firma de la persona que recibió la respectiva cédula de notificación.</w:t>
      </w:r>
    </w:p>
    <w:p w:rsidR="00C813D2" w:rsidRPr="000F56C7" w:rsidRDefault="00C813D2" w:rsidP="00C813D2">
      <w:pPr>
        <w:rPr>
          <w:rFonts w:ascii="Tahoma" w:hAnsi="Tahoma" w:cs="Tahoma"/>
          <w:sz w:val="22"/>
          <w:szCs w:val="22"/>
          <w:lang w:val="es-PE"/>
        </w:rPr>
      </w:pPr>
    </w:p>
    <w:p w:rsidR="00C813D2" w:rsidRDefault="00C813D2" w:rsidP="00C813D2">
      <w:pPr>
        <w:ind w:left="567"/>
        <w:jc w:val="both"/>
        <w:rPr>
          <w:rFonts w:ascii="Tahoma" w:hAnsi="Tahoma" w:cs="Tahoma"/>
          <w:sz w:val="22"/>
          <w:szCs w:val="22"/>
          <w:lang w:val="es-PE"/>
        </w:rPr>
      </w:pPr>
      <w:r>
        <w:rPr>
          <w:rFonts w:ascii="Tahoma" w:hAnsi="Tahoma" w:cs="Tahoma"/>
          <w:sz w:val="22"/>
          <w:szCs w:val="22"/>
          <w:lang w:val="es-PE"/>
        </w:rPr>
        <w:t>Asimismo, dicho autor, al comentar el acotado artículo 21 de la Ley, indica que cuando el administrado haya señalado domicilio para las notificaciones, se deberá tomar lo siguiente:</w:t>
      </w:r>
    </w:p>
    <w:p w:rsidR="00C813D2" w:rsidRPr="00743B6C" w:rsidRDefault="00C813D2" w:rsidP="00C813D2">
      <w:pPr>
        <w:jc w:val="both"/>
        <w:rPr>
          <w:rFonts w:ascii="Tahoma" w:hAnsi="Tahoma" w:cs="Tahoma"/>
          <w:sz w:val="22"/>
          <w:szCs w:val="22"/>
          <w:lang w:val="es-PE"/>
        </w:rPr>
      </w:pPr>
    </w:p>
    <w:p w:rsidR="00C813D2" w:rsidRDefault="00C813D2" w:rsidP="00C813D2">
      <w:pPr>
        <w:pStyle w:val="Prrafodelista"/>
        <w:ind w:left="851"/>
        <w:jc w:val="both"/>
        <w:rPr>
          <w:rFonts w:ascii="Tahoma" w:hAnsi="Tahoma" w:cs="Tahoma"/>
          <w:sz w:val="22"/>
          <w:szCs w:val="22"/>
          <w:lang w:val="es-PE"/>
        </w:rPr>
      </w:pPr>
      <w:r>
        <w:rPr>
          <w:rFonts w:ascii="Tahoma" w:hAnsi="Tahoma" w:cs="Tahoma"/>
          <w:sz w:val="22"/>
          <w:szCs w:val="22"/>
          <w:lang w:val="es-PE"/>
        </w:rPr>
        <w:t>(…)</w:t>
      </w:r>
    </w:p>
    <w:p w:rsidR="00C813D2" w:rsidRPr="003D5577" w:rsidRDefault="00C813D2" w:rsidP="00C813D2">
      <w:pPr>
        <w:pStyle w:val="Prrafodelista"/>
        <w:ind w:left="851" w:right="282"/>
        <w:jc w:val="both"/>
        <w:rPr>
          <w:rFonts w:ascii="Tahoma" w:hAnsi="Tahoma" w:cs="Tahoma"/>
          <w:i/>
          <w:sz w:val="22"/>
          <w:szCs w:val="22"/>
          <w:lang w:val="es-PE"/>
        </w:rPr>
      </w:pPr>
      <w:r w:rsidRPr="003D5577">
        <w:rPr>
          <w:rFonts w:ascii="Tahoma" w:hAnsi="Tahoma" w:cs="Tahoma"/>
          <w:i/>
          <w:sz w:val="22"/>
          <w:szCs w:val="22"/>
          <w:lang w:val="es-PE"/>
        </w:rPr>
        <w:t>“Cuando al momento de efectuar la notificación el interesado no se encuentre en el domicilio designado, la actuación podrá entenderse con la persona presente en dicho lugar, dejándose constancia de su identificación y su vínculo con el interesado.</w:t>
      </w:r>
    </w:p>
    <w:p w:rsidR="00C813D2" w:rsidRPr="003D5577" w:rsidRDefault="00C813D2" w:rsidP="00C813D2">
      <w:pPr>
        <w:ind w:left="851" w:right="282"/>
        <w:jc w:val="both"/>
        <w:rPr>
          <w:rFonts w:ascii="Tahoma" w:hAnsi="Tahoma" w:cs="Tahoma"/>
          <w:i/>
          <w:sz w:val="22"/>
          <w:szCs w:val="22"/>
          <w:lang w:val="es-PE"/>
        </w:rPr>
      </w:pPr>
      <w:r w:rsidRPr="003D5577">
        <w:rPr>
          <w:rFonts w:ascii="Tahoma" w:hAnsi="Tahoma" w:cs="Tahoma"/>
          <w:i/>
          <w:sz w:val="22"/>
          <w:szCs w:val="22"/>
          <w:lang w:val="es-PE"/>
        </w:rPr>
        <w:t xml:space="preserve">Excepcionalmente, la legislación permite validar una notificación personal aun cuando no sea recibida por su real destinatario (sujeto pasivo), sino </w:t>
      </w:r>
      <w:r w:rsidRPr="003D5577">
        <w:rPr>
          <w:rFonts w:ascii="Tahoma" w:hAnsi="Tahoma" w:cs="Tahoma"/>
          <w:i/>
          <w:sz w:val="22"/>
          <w:szCs w:val="22"/>
          <w:lang w:val="es-PE"/>
        </w:rPr>
        <w:lastRenderedPageBreak/>
        <w:t>sólo por un tercero (sujeto receptor), cuando la autoridad razonablemente puede convencerse que por la naturaleza de la relación existente entre ambos, el interesado tomará conocimiento del acto.</w:t>
      </w:r>
    </w:p>
    <w:p w:rsidR="00C813D2" w:rsidRPr="003D5577" w:rsidRDefault="00C813D2" w:rsidP="00C813D2">
      <w:pPr>
        <w:ind w:left="851" w:right="282"/>
        <w:jc w:val="both"/>
        <w:rPr>
          <w:rFonts w:ascii="Tahoma" w:hAnsi="Tahoma" w:cs="Tahoma"/>
          <w:i/>
          <w:sz w:val="22"/>
          <w:szCs w:val="22"/>
          <w:lang w:val="es-PE"/>
        </w:rPr>
      </w:pPr>
      <w:r w:rsidRPr="003D5577">
        <w:rPr>
          <w:rFonts w:ascii="Tahoma" w:hAnsi="Tahoma" w:cs="Tahoma"/>
          <w:i/>
          <w:sz w:val="22"/>
          <w:szCs w:val="22"/>
          <w:lang w:val="es-PE"/>
        </w:rPr>
        <w:t>Para tal fin, deben concurrir dos requisitos en el sujeto receptor:</w:t>
      </w:r>
    </w:p>
    <w:p w:rsidR="00C813D2" w:rsidRPr="003803CB" w:rsidRDefault="00C813D2" w:rsidP="00C813D2">
      <w:pPr>
        <w:pStyle w:val="Prrafodelista"/>
        <w:numPr>
          <w:ilvl w:val="0"/>
          <w:numId w:val="14"/>
        </w:numPr>
        <w:ind w:left="1418" w:right="282" w:hanging="567"/>
        <w:jc w:val="both"/>
        <w:rPr>
          <w:rFonts w:ascii="Tahoma" w:hAnsi="Tahoma" w:cs="Tahoma"/>
          <w:i/>
          <w:sz w:val="22"/>
          <w:szCs w:val="22"/>
          <w:lang w:val="es-PE"/>
        </w:rPr>
      </w:pPr>
      <w:r w:rsidRPr="003803CB">
        <w:rPr>
          <w:rFonts w:ascii="Tahoma" w:hAnsi="Tahoma" w:cs="Tahoma"/>
          <w:i/>
          <w:sz w:val="22"/>
          <w:szCs w:val="22"/>
          <w:lang w:val="es-PE"/>
        </w:rPr>
        <w:t>Encontrarse en el domicilio del destinatario de la notificación (de tal suerte que no opera si la recibe un vecino o el portero de un complejo habitacional); y,</w:t>
      </w:r>
    </w:p>
    <w:p w:rsidR="00C813D2" w:rsidRPr="003803CB" w:rsidRDefault="00C813D2" w:rsidP="00C813D2">
      <w:pPr>
        <w:pStyle w:val="Prrafodelista"/>
        <w:numPr>
          <w:ilvl w:val="0"/>
          <w:numId w:val="14"/>
        </w:numPr>
        <w:ind w:left="1418" w:right="282" w:hanging="567"/>
        <w:jc w:val="both"/>
        <w:rPr>
          <w:rFonts w:ascii="Tahoma" w:hAnsi="Tahoma" w:cs="Tahoma"/>
          <w:i/>
          <w:sz w:val="22"/>
          <w:szCs w:val="22"/>
          <w:lang w:val="es-PE"/>
        </w:rPr>
      </w:pPr>
      <w:r w:rsidRPr="003803CB">
        <w:rPr>
          <w:rFonts w:ascii="Tahoma" w:hAnsi="Tahoma" w:cs="Tahoma"/>
          <w:i/>
          <w:sz w:val="22"/>
          <w:szCs w:val="22"/>
          <w:lang w:val="es-PE"/>
        </w:rPr>
        <w:t>Expresar la relación que mantenga con el destinatario de la notificación (por ejemplo, el parentesco, el empleo, una visita, etc.)”</w:t>
      </w:r>
    </w:p>
    <w:p w:rsidR="00C813D2" w:rsidRDefault="00C813D2" w:rsidP="00C813D2">
      <w:pPr>
        <w:ind w:left="851"/>
        <w:jc w:val="both"/>
        <w:rPr>
          <w:rFonts w:ascii="Tahoma" w:hAnsi="Tahoma" w:cs="Tahoma"/>
          <w:sz w:val="22"/>
          <w:szCs w:val="22"/>
          <w:lang w:val="es-PE"/>
        </w:rPr>
      </w:pPr>
      <w:r>
        <w:rPr>
          <w:rFonts w:ascii="Tahoma" w:hAnsi="Tahoma" w:cs="Tahoma"/>
          <w:sz w:val="22"/>
          <w:szCs w:val="22"/>
          <w:lang w:val="es-PE"/>
        </w:rPr>
        <w:t>(…)</w:t>
      </w:r>
    </w:p>
    <w:p w:rsidR="00C813D2" w:rsidRDefault="00C813D2" w:rsidP="00C813D2">
      <w:pPr>
        <w:ind w:left="851"/>
        <w:jc w:val="both"/>
        <w:rPr>
          <w:rFonts w:ascii="Tahoma" w:hAnsi="Tahoma" w:cs="Tahoma"/>
          <w:sz w:val="22"/>
          <w:szCs w:val="22"/>
          <w:lang w:val="es-PE"/>
        </w:rPr>
      </w:pPr>
    </w:p>
    <w:p w:rsidR="00C813D2" w:rsidRDefault="00C813D2" w:rsidP="00C813D2">
      <w:pPr>
        <w:numPr>
          <w:ilvl w:val="0"/>
          <w:numId w:val="12"/>
        </w:numPr>
        <w:ind w:left="567" w:hanging="567"/>
        <w:jc w:val="both"/>
        <w:rPr>
          <w:rFonts w:ascii="Tahoma" w:hAnsi="Tahoma" w:cs="Tahoma"/>
          <w:sz w:val="22"/>
          <w:szCs w:val="22"/>
          <w:lang w:val="es-PE"/>
        </w:rPr>
      </w:pPr>
      <w:r>
        <w:rPr>
          <w:rFonts w:ascii="Tahoma" w:hAnsi="Tahoma" w:cs="Tahoma"/>
          <w:sz w:val="22"/>
          <w:szCs w:val="22"/>
          <w:lang w:val="es-PE"/>
        </w:rPr>
        <w:t>Ahora bien, del cargo de la Cedula de Notificación Nº 24270/2010.TC, mediante la cual se notificó la Resolución Nº 1796-2010-TC-S1 de fecha 24 de setiembre del 2010, a través del cual se le sancionó al Postor, se ha podido apreciar que se ha consignado lo siguiente:</w:t>
      </w:r>
    </w:p>
    <w:p w:rsidR="00C813D2" w:rsidRDefault="00C813D2" w:rsidP="00C813D2">
      <w:pPr>
        <w:ind w:left="567"/>
        <w:jc w:val="both"/>
        <w:rPr>
          <w:rFonts w:ascii="Tahoma" w:hAnsi="Tahoma" w:cs="Tahoma"/>
          <w:sz w:val="22"/>
          <w:szCs w:val="22"/>
          <w:lang w:val="es-PE"/>
        </w:rPr>
      </w:pPr>
    </w:p>
    <w:p w:rsidR="00C813D2" w:rsidRPr="008C4F3B" w:rsidRDefault="00C813D2" w:rsidP="00C813D2">
      <w:pPr>
        <w:ind w:left="567"/>
        <w:jc w:val="center"/>
        <w:rPr>
          <w:rFonts w:ascii="Tahoma" w:hAnsi="Tahoma" w:cs="Tahoma"/>
          <w:i/>
          <w:sz w:val="18"/>
          <w:szCs w:val="18"/>
          <w:lang w:val="es-PE"/>
        </w:rPr>
      </w:pPr>
      <w:r w:rsidRPr="008C4F3B">
        <w:rPr>
          <w:rFonts w:ascii="Tahoma" w:hAnsi="Tahoma" w:cs="Tahoma"/>
          <w:i/>
          <w:sz w:val="18"/>
          <w:szCs w:val="18"/>
          <w:lang w:val="es-PE"/>
        </w:rPr>
        <w:t>Recibido</w:t>
      </w:r>
    </w:p>
    <w:p w:rsidR="00C813D2" w:rsidRPr="008C4F3B" w:rsidRDefault="00C813D2" w:rsidP="00C813D2">
      <w:pPr>
        <w:ind w:left="567"/>
        <w:jc w:val="center"/>
        <w:rPr>
          <w:rFonts w:ascii="Tahoma" w:hAnsi="Tahoma" w:cs="Tahoma"/>
          <w:i/>
          <w:sz w:val="18"/>
          <w:szCs w:val="18"/>
          <w:lang w:val="es-PE"/>
        </w:rPr>
      </w:pPr>
      <w:r w:rsidRPr="008C4F3B">
        <w:rPr>
          <w:rFonts w:ascii="Tahoma" w:hAnsi="Tahoma" w:cs="Tahoma"/>
          <w:i/>
          <w:sz w:val="18"/>
          <w:szCs w:val="18"/>
          <w:lang w:val="es-PE"/>
        </w:rPr>
        <w:t>27/09/10</w:t>
      </w:r>
    </w:p>
    <w:p w:rsidR="00C813D2" w:rsidRPr="008C4F3B" w:rsidRDefault="00C813D2" w:rsidP="00C813D2">
      <w:pPr>
        <w:ind w:left="567"/>
        <w:jc w:val="center"/>
        <w:rPr>
          <w:rFonts w:ascii="Tahoma" w:hAnsi="Tahoma" w:cs="Tahoma"/>
          <w:i/>
          <w:sz w:val="18"/>
          <w:szCs w:val="18"/>
          <w:lang w:val="es-PE"/>
        </w:rPr>
      </w:pPr>
      <w:r w:rsidRPr="008C4F3B">
        <w:rPr>
          <w:rFonts w:ascii="Tahoma" w:hAnsi="Tahoma" w:cs="Tahoma"/>
          <w:i/>
          <w:sz w:val="18"/>
          <w:szCs w:val="18"/>
          <w:lang w:val="es-PE"/>
        </w:rPr>
        <w:t>CRISTINA COLLANTES</w:t>
      </w:r>
    </w:p>
    <w:p w:rsidR="00C813D2" w:rsidRPr="008C4F3B" w:rsidRDefault="00C813D2" w:rsidP="00C813D2">
      <w:pPr>
        <w:ind w:left="567"/>
        <w:jc w:val="center"/>
        <w:rPr>
          <w:rFonts w:ascii="Tahoma" w:hAnsi="Tahoma" w:cs="Tahoma"/>
          <w:i/>
          <w:sz w:val="18"/>
          <w:szCs w:val="18"/>
          <w:lang w:val="es-PE"/>
        </w:rPr>
      </w:pPr>
      <w:r w:rsidRPr="008C4F3B">
        <w:rPr>
          <w:rFonts w:ascii="Tahoma" w:hAnsi="Tahoma" w:cs="Tahoma"/>
          <w:i/>
          <w:sz w:val="18"/>
          <w:szCs w:val="18"/>
          <w:lang w:val="es-PE"/>
        </w:rPr>
        <w:t>4:00 pm</w:t>
      </w:r>
    </w:p>
    <w:p w:rsidR="00C813D2" w:rsidRPr="008C4F3B" w:rsidRDefault="00C813D2" w:rsidP="00C813D2">
      <w:pPr>
        <w:ind w:left="567"/>
        <w:jc w:val="center"/>
        <w:rPr>
          <w:rFonts w:ascii="Tahoma" w:hAnsi="Tahoma" w:cs="Tahoma"/>
          <w:i/>
          <w:sz w:val="18"/>
          <w:szCs w:val="18"/>
          <w:lang w:val="es-PE"/>
        </w:rPr>
      </w:pPr>
      <w:r w:rsidRPr="008C4F3B">
        <w:rPr>
          <w:rFonts w:ascii="Tahoma" w:hAnsi="Tahoma" w:cs="Tahoma"/>
          <w:i/>
          <w:sz w:val="18"/>
          <w:szCs w:val="18"/>
          <w:lang w:val="es-PE"/>
        </w:rPr>
        <w:t>DNI: 43595656</w:t>
      </w:r>
    </w:p>
    <w:p w:rsidR="00C813D2" w:rsidRPr="008C4F3B" w:rsidRDefault="00C813D2" w:rsidP="00C813D2">
      <w:pPr>
        <w:ind w:left="567"/>
        <w:jc w:val="center"/>
        <w:rPr>
          <w:rFonts w:ascii="Tahoma" w:hAnsi="Tahoma" w:cs="Tahoma"/>
          <w:i/>
          <w:sz w:val="18"/>
          <w:szCs w:val="18"/>
          <w:lang w:val="es-PE"/>
        </w:rPr>
      </w:pPr>
      <w:r w:rsidRPr="008C4F3B">
        <w:rPr>
          <w:rFonts w:ascii="Tahoma" w:hAnsi="Tahoma" w:cs="Tahoma"/>
          <w:i/>
          <w:sz w:val="18"/>
          <w:szCs w:val="18"/>
          <w:lang w:val="es-PE"/>
        </w:rPr>
        <w:t>SECRETARIA</w:t>
      </w:r>
    </w:p>
    <w:p w:rsidR="00C813D2" w:rsidRDefault="00C813D2" w:rsidP="00C813D2">
      <w:pPr>
        <w:ind w:left="567"/>
        <w:jc w:val="both"/>
        <w:rPr>
          <w:rFonts w:ascii="Tahoma" w:hAnsi="Tahoma" w:cs="Tahoma"/>
          <w:sz w:val="22"/>
          <w:szCs w:val="22"/>
          <w:lang w:val="es-PE"/>
        </w:rPr>
      </w:pPr>
    </w:p>
    <w:p w:rsidR="00C813D2" w:rsidRDefault="00C813D2" w:rsidP="00C813D2">
      <w:pPr>
        <w:numPr>
          <w:ilvl w:val="0"/>
          <w:numId w:val="12"/>
        </w:numPr>
        <w:ind w:left="567" w:hanging="567"/>
        <w:jc w:val="both"/>
        <w:rPr>
          <w:rFonts w:ascii="Tahoma" w:hAnsi="Tahoma" w:cs="Tahoma"/>
          <w:sz w:val="22"/>
          <w:szCs w:val="22"/>
          <w:lang w:val="es-PE"/>
        </w:rPr>
      </w:pPr>
      <w:r w:rsidRPr="00AE40BB">
        <w:rPr>
          <w:rFonts w:ascii="Tahoma" w:hAnsi="Tahoma" w:cs="Tahoma"/>
          <w:sz w:val="22"/>
          <w:szCs w:val="22"/>
          <w:lang w:val="es-PE"/>
        </w:rPr>
        <w:t xml:space="preserve">Nótese entonces, que a pesar que el diligenciamiento de la </w:t>
      </w:r>
      <w:r>
        <w:rPr>
          <w:rFonts w:ascii="Tahoma" w:hAnsi="Tahoma" w:cs="Tahoma"/>
          <w:sz w:val="22"/>
          <w:szCs w:val="22"/>
          <w:lang w:val="es-PE"/>
        </w:rPr>
        <w:t>Cé</w:t>
      </w:r>
      <w:r w:rsidRPr="00AE40BB">
        <w:rPr>
          <w:rFonts w:ascii="Tahoma" w:hAnsi="Tahoma" w:cs="Tahoma"/>
          <w:sz w:val="22"/>
          <w:szCs w:val="22"/>
          <w:lang w:val="es-PE"/>
        </w:rPr>
        <w:t>dula de Notificación Nº 24270/2010.TC tenía que realizarse de la manera más escrupulosa, al comunicarse la Resolución Nº 1796-2010-TC-S1 mediante la cual se sancionaba al Postor, teniendo en consideración que a partir de su notificación se contabilizaba los plazos para la interposición del recurso de reconsideración, sin embargo, se puede apreciar que no se ha dejado constancia de la firma de la persona que recibió dicha cédula de notificación, por lo cual, no se podría generar certeza respecto a que dicha persona efectivamente haya recibido el documento antes mencionado</w:t>
      </w:r>
      <w:r>
        <w:rPr>
          <w:rFonts w:ascii="Tahoma" w:hAnsi="Tahoma" w:cs="Tahoma"/>
          <w:sz w:val="22"/>
          <w:szCs w:val="22"/>
          <w:lang w:val="es-PE"/>
        </w:rPr>
        <w:t>.</w:t>
      </w:r>
    </w:p>
    <w:p w:rsidR="00C813D2" w:rsidRDefault="00C813D2" w:rsidP="00C813D2">
      <w:pPr>
        <w:ind w:left="567"/>
        <w:jc w:val="both"/>
        <w:rPr>
          <w:rFonts w:ascii="Tahoma" w:hAnsi="Tahoma" w:cs="Tahoma"/>
          <w:sz w:val="22"/>
          <w:szCs w:val="22"/>
          <w:lang w:val="es-PE"/>
        </w:rPr>
      </w:pPr>
    </w:p>
    <w:p w:rsidR="00C813D2" w:rsidRDefault="00C813D2" w:rsidP="00C813D2">
      <w:pPr>
        <w:numPr>
          <w:ilvl w:val="0"/>
          <w:numId w:val="12"/>
        </w:numPr>
        <w:ind w:left="567" w:hanging="567"/>
        <w:jc w:val="both"/>
        <w:rPr>
          <w:rFonts w:ascii="Tahoma" w:hAnsi="Tahoma" w:cs="Tahoma"/>
          <w:sz w:val="22"/>
          <w:szCs w:val="22"/>
          <w:lang w:val="es-PE"/>
        </w:rPr>
      </w:pPr>
      <w:r w:rsidRPr="006A67A5">
        <w:rPr>
          <w:rFonts w:ascii="Tahoma" w:hAnsi="Tahoma" w:cs="Tahoma"/>
          <w:sz w:val="22"/>
          <w:szCs w:val="22"/>
          <w:lang w:val="es-PE"/>
        </w:rPr>
        <w:t xml:space="preserve">Aunado a ello, se debe precisar que el Postor ha señalado que </w:t>
      </w:r>
      <w:r w:rsidRPr="006A67A5">
        <w:rPr>
          <w:rFonts w:ascii="Tahoma" w:hAnsi="Tahoma" w:cs="Tahoma"/>
          <w:sz w:val="22"/>
          <w:szCs w:val="22"/>
        </w:rPr>
        <w:t xml:space="preserve">no fue notificado con la Resolución de Sanción Nº 1796-2010-TC-S1 del 24 de setiembre del 2010, desconociendo la relación </w:t>
      </w:r>
      <w:r w:rsidRPr="006A67A5">
        <w:rPr>
          <w:rFonts w:ascii="Tahoma" w:hAnsi="Tahoma" w:cs="Tahoma"/>
          <w:sz w:val="22"/>
          <w:szCs w:val="22"/>
          <w:lang w:val="es-PE"/>
        </w:rPr>
        <w:t xml:space="preserve">laboral o contractual con </w:t>
      </w:r>
      <w:r>
        <w:rPr>
          <w:rFonts w:ascii="Tahoma" w:hAnsi="Tahoma" w:cs="Tahoma"/>
          <w:sz w:val="22"/>
          <w:szCs w:val="22"/>
          <w:lang w:val="es-PE"/>
        </w:rPr>
        <w:t>la persona que supuestamente la recibió.</w:t>
      </w:r>
    </w:p>
    <w:p w:rsidR="00C813D2" w:rsidRDefault="00C813D2" w:rsidP="00C813D2">
      <w:pPr>
        <w:pStyle w:val="Prrafodelista"/>
        <w:rPr>
          <w:rFonts w:ascii="Tahoma" w:hAnsi="Tahoma" w:cs="Tahoma"/>
          <w:sz w:val="22"/>
          <w:szCs w:val="22"/>
          <w:lang w:val="es-PE"/>
        </w:rPr>
      </w:pPr>
    </w:p>
    <w:p w:rsidR="00C813D2" w:rsidRDefault="00C813D2" w:rsidP="00C813D2">
      <w:pPr>
        <w:ind w:left="567"/>
        <w:jc w:val="both"/>
        <w:rPr>
          <w:rFonts w:ascii="Tahoma" w:hAnsi="Tahoma" w:cs="Tahoma"/>
          <w:sz w:val="22"/>
          <w:szCs w:val="22"/>
          <w:lang w:val="es-PE"/>
        </w:rPr>
      </w:pPr>
      <w:r>
        <w:rPr>
          <w:rFonts w:ascii="Tahoma" w:hAnsi="Tahoma" w:cs="Tahoma"/>
          <w:sz w:val="22"/>
          <w:szCs w:val="22"/>
          <w:lang w:val="es-PE"/>
        </w:rPr>
        <w:t>En tal sentido, el Postor a fin de acreditar lo afirmado anteriormente, adjuntó la Constancia de fecha 15 de junio del 2011, a través del cual Maria Teodolinda Castro Rodriguez, en calidad de contadora de la empresa Ditranserva S.A.C., declaró que Maria Collantes, nunca ha laborado, ni ha tenido vínculo laboral alguno con dicha empresa, por lo cual adjuntó la planilla de trabajadores del mes de julio a setiembre del 2010.</w:t>
      </w:r>
    </w:p>
    <w:p w:rsidR="00C813D2" w:rsidRPr="006A67A5" w:rsidRDefault="00C813D2" w:rsidP="00C813D2">
      <w:pPr>
        <w:jc w:val="both"/>
        <w:rPr>
          <w:rFonts w:ascii="Tahoma" w:hAnsi="Tahoma" w:cs="Tahoma"/>
          <w:sz w:val="22"/>
          <w:szCs w:val="22"/>
          <w:lang w:val="es-PE"/>
        </w:rPr>
      </w:pPr>
    </w:p>
    <w:p w:rsidR="00C813D2" w:rsidRDefault="00C813D2" w:rsidP="00C813D2">
      <w:pPr>
        <w:numPr>
          <w:ilvl w:val="0"/>
          <w:numId w:val="12"/>
        </w:numPr>
        <w:ind w:left="567" w:hanging="567"/>
        <w:jc w:val="both"/>
        <w:rPr>
          <w:rFonts w:ascii="Tahoma" w:hAnsi="Tahoma" w:cs="Tahoma"/>
          <w:sz w:val="22"/>
          <w:szCs w:val="22"/>
          <w:lang w:val="es-PE"/>
        </w:rPr>
      </w:pPr>
      <w:r w:rsidRPr="00526F65">
        <w:rPr>
          <w:rFonts w:ascii="Tahoma" w:hAnsi="Tahoma" w:cs="Tahoma"/>
          <w:sz w:val="22"/>
          <w:szCs w:val="22"/>
          <w:lang w:val="es-PE"/>
        </w:rPr>
        <w:lastRenderedPageBreak/>
        <w:t xml:space="preserve">Respecto a ello, tal como se señaló anteriormente, la legislación permite validar una notificación personal aun cuando no sea recibida por su real destinatario, sino por un tercero, cuando la autoridad razonablemente puede convencerse que por la naturaleza de la relación existente entre ambos, el interesado tomará conocimiento </w:t>
      </w:r>
      <w:r>
        <w:rPr>
          <w:rFonts w:ascii="Tahoma" w:hAnsi="Tahoma" w:cs="Tahoma"/>
          <w:sz w:val="22"/>
          <w:szCs w:val="22"/>
          <w:lang w:val="es-PE"/>
        </w:rPr>
        <w:t xml:space="preserve">indirecto </w:t>
      </w:r>
      <w:r w:rsidRPr="00526F65">
        <w:rPr>
          <w:rFonts w:ascii="Tahoma" w:hAnsi="Tahoma" w:cs="Tahoma"/>
          <w:sz w:val="22"/>
          <w:szCs w:val="22"/>
          <w:lang w:val="es-PE"/>
        </w:rPr>
        <w:t>del acto</w:t>
      </w:r>
      <w:r>
        <w:rPr>
          <w:rFonts w:ascii="Tahoma" w:hAnsi="Tahoma" w:cs="Tahoma"/>
          <w:sz w:val="22"/>
          <w:szCs w:val="22"/>
          <w:lang w:val="es-PE"/>
        </w:rPr>
        <w:t xml:space="preserve"> y, en consecuencia, aquella se reportará válida, ello en virtud del principio procesal de flexibilidad de la formas a convalidación procesal</w:t>
      </w:r>
      <w:r w:rsidRPr="00526F65">
        <w:rPr>
          <w:rFonts w:ascii="Tahoma" w:hAnsi="Tahoma" w:cs="Tahoma"/>
          <w:sz w:val="22"/>
          <w:szCs w:val="22"/>
          <w:lang w:val="es-PE"/>
        </w:rPr>
        <w:t>.</w:t>
      </w:r>
    </w:p>
    <w:p w:rsidR="00C813D2" w:rsidRDefault="00C813D2" w:rsidP="00C813D2">
      <w:pPr>
        <w:ind w:left="567"/>
        <w:jc w:val="both"/>
        <w:rPr>
          <w:rFonts w:ascii="Tahoma" w:hAnsi="Tahoma" w:cs="Tahoma"/>
          <w:sz w:val="22"/>
          <w:szCs w:val="22"/>
          <w:lang w:val="es-PE"/>
        </w:rPr>
      </w:pPr>
    </w:p>
    <w:p w:rsidR="00C813D2" w:rsidRDefault="00C813D2" w:rsidP="00C813D2">
      <w:pPr>
        <w:numPr>
          <w:ilvl w:val="0"/>
          <w:numId w:val="12"/>
        </w:numPr>
        <w:ind w:left="567" w:hanging="567"/>
        <w:jc w:val="both"/>
        <w:rPr>
          <w:rFonts w:ascii="Tahoma" w:hAnsi="Tahoma" w:cs="Tahoma"/>
          <w:sz w:val="22"/>
          <w:szCs w:val="22"/>
          <w:lang w:val="es-PE"/>
        </w:rPr>
      </w:pPr>
      <w:r w:rsidRPr="00914A22">
        <w:rPr>
          <w:rFonts w:ascii="Tahoma" w:hAnsi="Tahoma" w:cs="Tahoma"/>
          <w:sz w:val="22"/>
          <w:szCs w:val="22"/>
          <w:lang w:val="es-PE"/>
        </w:rPr>
        <w:t>Ahora bien, de la documentación que obra en autos, se puede advertir que la Cédula de Notificación Nº 24270/2010.TC mediante la cual se notificó la Resolución Nº 1796-2010-TC-S1, habría sido recibida por el Postor el 27 de setiembre del 2010, a través de su secretaria, es decir “Cristina Collantes”, no obstante ello, tal como lo señaló el Postor, se ha podido verificar de la planilla de trabajadores de julio a setiembre del 2010, que Cristina Collantes no ha laborado para el Postor en dichas fechas, ratificándose lo dicho anteriormente, a través de la Constancia de fecha 15 de junio de 2011, en la cual, la contadora del Postor, expresamente dej</w:t>
      </w:r>
      <w:r>
        <w:rPr>
          <w:rFonts w:ascii="Tahoma" w:hAnsi="Tahoma" w:cs="Tahoma"/>
          <w:sz w:val="22"/>
          <w:szCs w:val="22"/>
          <w:lang w:val="es-PE"/>
        </w:rPr>
        <w:t>ó</w:t>
      </w:r>
      <w:r w:rsidRPr="00914A22">
        <w:rPr>
          <w:rFonts w:ascii="Tahoma" w:hAnsi="Tahoma" w:cs="Tahoma"/>
          <w:sz w:val="22"/>
          <w:szCs w:val="22"/>
          <w:lang w:val="es-PE"/>
        </w:rPr>
        <w:t xml:space="preserve"> constancia en calidad de declaración jurada, que Cristina Collantes nunca ha laborado, ni ha tenido vínculo laboral alguno con la empresa Ditranserva S.A.C.</w:t>
      </w:r>
    </w:p>
    <w:p w:rsidR="00C813D2" w:rsidRDefault="00C813D2" w:rsidP="00C813D2">
      <w:pPr>
        <w:pStyle w:val="Prrafodelista"/>
        <w:rPr>
          <w:rFonts w:ascii="Tahoma" w:hAnsi="Tahoma" w:cs="Tahoma"/>
          <w:sz w:val="22"/>
          <w:szCs w:val="22"/>
          <w:lang w:val="es-PE"/>
        </w:rPr>
      </w:pPr>
    </w:p>
    <w:p w:rsidR="00C813D2" w:rsidRDefault="00C813D2" w:rsidP="00C813D2">
      <w:pPr>
        <w:ind w:left="567"/>
        <w:jc w:val="both"/>
        <w:rPr>
          <w:rFonts w:ascii="Tahoma" w:hAnsi="Tahoma" w:cs="Tahoma"/>
          <w:sz w:val="22"/>
          <w:szCs w:val="22"/>
          <w:lang w:val="es-PE"/>
        </w:rPr>
      </w:pPr>
      <w:r>
        <w:rPr>
          <w:rFonts w:ascii="Tahoma" w:hAnsi="Tahoma" w:cs="Tahoma"/>
          <w:sz w:val="22"/>
          <w:szCs w:val="22"/>
          <w:lang w:val="es-PE"/>
        </w:rPr>
        <w:t xml:space="preserve">Aunado a ello, cabe precisar que después de recibida la acotada notificación, el Postor no presentó documento alguno que acredite que haya tomado conocimiento oportuno de </w:t>
      </w:r>
      <w:r w:rsidRPr="00914A22">
        <w:rPr>
          <w:rFonts w:ascii="Tahoma" w:hAnsi="Tahoma" w:cs="Tahoma"/>
          <w:sz w:val="22"/>
          <w:szCs w:val="22"/>
          <w:lang w:val="es-PE"/>
        </w:rPr>
        <w:t>la Resolución Nº 1796-2010-TC-S1</w:t>
      </w:r>
      <w:r>
        <w:rPr>
          <w:rFonts w:ascii="Tahoma" w:hAnsi="Tahoma" w:cs="Tahoma"/>
          <w:sz w:val="22"/>
          <w:szCs w:val="22"/>
          <w:lang w:val="es-PE"/>
        </w:rPr>
        <w:t>, toda vez que el Postor, a través del escrito de fecha 07 de octubre del 2010, es decir en fecha muy posterior de la supuesta notificación de la resolución que le impuso la sanción administrativa, se apersonó a fin de realizar la lectura del expediente, la misma que se realizó el 11 de octubre del 2010, tomando conocimiento de dicha resolución en forma directa accediendo al expediente, cuando ya había transcurrido el plazo para impugnar el acotado acto administrativo.</w:t>
      </w:r>
    </w:p>
    <w:p w:rsidR="00C813D2" w:rsidRDefault="00C813D2" w:rsidP="00C813D2">
      <w:pPr>
        <w:ind w:left="567"/>
        <w:jc w:val="both"/>
        <w:rPr>
          <w:rFonts w:ascii="Tahoma" w:hAnsi="Tahoma" w:cs="Tahoma"/>
          <w:sz w:val="22"/>
          <w:szCs w:val="22"/>
          <w:lang w:val="es-PE"/>
        </w:rPr>
      </w:pPr>
    </w:p>
    <w:p w:rsidR="00C813D2" w:rsidRPr="00526F65" w:rsidRDefault="00C813D2" w:rsidP="00C813D2">
      <w:pPr>
        <w:numPr>
          <w:ilvl w:val="0"/>
          <w:numId w:val="12"/>
        </w:numPr>
        <w:ind w:left="567" w:hanging="567"/>
        <w:jc w:val="both"/>
        <w:rPr>
          <w:rFonts w:ascii="Tahoma" w:hAnsi="Tahoma" w:cs="Tahoma"/>
          <w:sz w:val="22"/>
          <w:szCs w:val="22"/>
          <w:lang w:val="es-PE"/>
        </w:rPr>
      </w:pPr>
      <w:r>
        <w:rPr>
          <w:rFonts w:ascii="Tahoma" w:hAnsi="Tahoma" w:cs="Tahoma"/>
          <w:sz w:val="22"/>
          <w:szCs w:val="22"/>
          <w:lang w:val="es-PE"/>
        </w:rPr>
        <w:t>Por lo tanto, de todo lo señalado anteriormente, este Colegiado considera que existe duda razonable a través del cual se advierta que el Postor haya tomado conocimiento de la Cé</w:t>
      </w:r>
      <w:r w:rsidRPr="00AE40BB">
        <w:rPr>
          <w:rFonts w:ascii="Tahoma" w:hAnsi="Tahoma" w:cs="Tahoma"/>
          <w:sz w:val="22"/>
          <w:szCs w:val="22"/>
          <w:lang w:val="es-PE"/>
        </w:rPr>
        <w:t>dula de Notificación Nº 24270/2010.TC</w:t>
      </w:r>
      <w:r w:rsidRPr="007C276E">
        <w:rPr>
          <w:rFonts w:ascii="Tahoma" w:hAnsi="Tahoma" w:cs="Tahoma"/>
          <w:sz w:val="22"/>
          <w:szCs w:val="22"/>
          <w:lang w:val="es-PE"/>
        </w:rPr>
        <w:t xml:space="preserve"> </w:t>
      </w:r>
      <w:r>
        <w:rPr>
          <w:rFonts w:ascii="Tahoma" w:hAnsi="Tahoma" w:cs="Tahoma"/>
          <w:sz w:val="22"/>
          <w:szCs w:val="22"/>
          <w:lang w:val="es-PE"/>
        </w:rPr>
        <w:t>mediante la cual se le debía notificar la Resolución Nº 1796-2010-TC-S1, por lo cual, al estar dentro del supuesto de notificación defectuosa, establecido en el artículo 26 de la Ley del Procedimiento Administrativo General, Ley 27444, específicamente en la falta absoluta de notificación</w:t>
      </w:r>
      <w:r>
        <w:rPr>
          <w:rStyle w:val="Refdenotaalpie"/>
          <w:rFonts w:ascii="Tahoma" w:hAnsi="Tahoma" w:cs="Tahoma"/>
          <w:sz w:val="22"/>
          <w:szCs w:val="22"/>
          <w:lang w:val="es-PE"/>
        </w:rPr>
        <w:footnoteReference w:id="3"/>
      </w:r>
      <w:r>
        <w:rPr>
          <w:rFonts w:ascii="Tahoma" w:hAnsi="Tahoma" w:cs="Tahoma"/>
          <w:sz w:val="22"/>
          <w:szCs w:val="22"/>
          <w:lang w:val="es-PE"/>
        </w:rPr>
        <w:t xml:space="preserve">, se deberá declarar la nulidad de la notificación de dicha </w:t>
      </w:r>
      <w:r>
        <w:rPr>
          <w:rFonts w:ascii="Tahoma" w:hAnsi="Tahoma" w:cs="Tahoma"/>
          <w:sz w:val="22"/>
          <w:szCs w:val="22"/>
          <w:lang w:val="es-PE"/>
        </w:rPr>
        <w:lastRenderedPageBreak/>
        <w:t>resolución, debiéndose proceder a realizar a un nueva notificación, a fin de salvaguardar el derecho de defensa del administrado, principio constitucionalmente reconocido.</w:t>
      </w:r>
    </w:p>
    <w:p w:rsidR="00C813D2" w:rsidRDefault="00C813D2" w:rsidP="00C813D2">
      <w:pPr>
        <w:ind w:left="567"/>
        <w:jc w:val="both"/>
        <w:rPr>
          <w:rFonts w:ascii="Tahoma" w:hAnsi="Tahoma" w:cs="Tahoma"/>
          <w:sz w:val="22"/>
          <w:szCs w:val="22"/>
          <w:lang w:val="es-PE"/>
        </w:rPr>
      </w:pPr>
    </w:p>
    <w:p w:rsidR="00C813D2" w:rsidRPr="00B30F39" w:rsidRDefault="00C813D2" w:rsidP="00C813D2">
      <w:pPr>
        <w:ind w:left="567"/>
        <w:jc w:val="both"/>
        <w:rPr>
          <w:rFonts w:ascii="Tahoma" w:hAnsi="Tahoma" w:cs="Tahoma"/>
          <w:b/>
          <w:sz w:val="22"/>
          <w:szCs w:val="22"/>
          <w:lang w:val="es-PE"/>
        </w:rPr>
      </w:pPr>
      <w:r>
        <w:rPr>
          <w:rFonts w:ascii="Tahoma" w:hAnsi="Tahoma" w:cs="Tahoma"/>
          <w:b/>
          <w:sz w:val="22"/>
          <w:szCs w:val="22"/>
          <w:lang w:val="es-PE"/>
        </w:rPr>
        <w:t>RESPECTO AL CUESTIONAMIENTO DEL CRITERIO DE INTERPRETACIÓN DE</w:t>
      </w:r>
      <w:r w:rsidRPr="00B30F39">
        <w:rPr>
          <w:rFonts w:ascii="Tahoma" w:hAnsi="Tahoma" w:cs="Tahoma"/>
          <w:b/>
          <w:sz w:val="22"/>
          <w:szCs w:val="22"/>
          <w:lang w:val="es-PE"/>
        </w:rPr>
        <w:t xml:space="preserve"> LA RESOLUCIÓN </w:t>
      </w:r>
      <w:r w:rsidRPr="00B30F39">
        <w:rPr>
          <w:rFonts w:ascii="Tahoma" w:hAnsi="Tahoma" w:cs="Tahoma"/>
          <w:b/>
          <w:sz w:val="22"/>
          <w:szCs w:val="22"/>
        </w:rPr>
        <w:t>Nº 1796-2010-TC-S1 DEL 24 DE SETIEMBRE DEL 2010</w:t>
      </w:r>
    </w:p>
    <w:p w:rsidR="00C813D2" w:rsidRDefault="00C813D2" w:rsidP="00C813D2">
      <w:pPr>
        <w:ind w:left="567"/>
        <w:jc w:val="both"/>
        <w:rPr>
          <w:rFonts w:ascii="Tahoma" w:hAnsi="Tahoma" w:cs="Tahoma"/>
          <w:sz w:val="22"/>
          <w:szCs w:val="22"/>
          <w:lang w:val="es-PE"/>
        </w:rPr>
      </w:pPr>
    </w:p>
    <w:p w:rsidR="00C813D2" w:rsidRPr="003E2B0B" w:rsidRDefault="00C813D2" w:rsidP="00C813D2">
      <w:pPr>
        <w:numPr>
          <w:ilvl w:val="0"/>
          <w:numId w:val="12"/>
        </w:numPr>
        <w:ind w:left="567" w:hanging="567"/>
        <w:jc w:val="both"/>
        <w:rPr>
          <w:rFonts w:ascii="Tahoma" w:hAnsi="Tahoma" w:cs="Tahoma"/>
          <w:sz w:val="22"/>
          <w:szCs w:val="22"/>
          <w:lang w:val="es-PE"/>
        </w:rPr>
      </w:pPr>
      <w:r>
        <w:rPr>
          <w:rFonts w:ascii="Tahoma" w:hAnsi="Tahoma" w:cs="Tahoma"/>
          <w:sz w:val="22"/>
          <w:szCs w:val="22"/>
          <w:lang w:val="es-PE"/>
        </w:rPr>
        <w:t>L</w:t>
      </w:r>
      <w:r w:rsidRPr="005F215B">
        <w:rPr>
          <w:rFonts w:ascii="Tahoma" w:hAnsi="Tahoma" w:cs="Tahoma"/>
          <w:sz w:val="22"/>
          <w:szCs w:val="22"/>
        </w:rPr>
        <w:t>a empresa DITRANSERVA S.A.C.</w:t>
      </w:r>
      <w:r w:rsidRPr="005F215B">
        <w:rPr>
          <w:rFonts w:ascii="Tahoma" w:hAnsi="Tahoma" w:cs="Tahoma"/>
          <w:sz w:val="22"/>
          <w:szCs w:val="22"/>
          <w:lang w:val="es-PE"/>
        </w:rPr>
        <w:t xml:space="preserve"> solicitó que se declare la </w:t>
      </w:r>
      <w:r w:rsidRPr="005F215B">
        <w:rPr>
          <w:rFonts w:ascii="Tahoma" w:hAnsi="Tahoma" w:cs="Tahoma"/>
          <w:sz w:val="22"/>
          <w:szCs w:val="22"/>
        </w:rPr>
        <w:t xml:space="preserve">nulidad de la Resolución Nº 1796-2010-TC-S1 de fecha 24 de setiembre del 2010, por motivación defectuosa en lo que respecta a la notificación de los actos administrativo y por transgredirse el artículo 20 de la Ley del Procedimiento Administrativo General, Ley Nº 27444, por considerarse que el acto de notificación realizado por la Entidad habría quedado saneado en virtud del numeral 27.2 de dicha ley, a pesar que no se trataba de una notificación defectuosa, sino que la modalidad utilizada, es decir mediante fax, no debió haber sido empleada por no existir autorización expresa, por lo cual, al tratarse de una notificación viciada o nula, no pudo ser subsanada bajo ningún motivo o circunstancia, máxime cuando el criterio asumido por la Primera Sala del Tribunal de Contrataciones del Estado es que la citación para la suscripción del contrato debe ser notificada personalmente; siendo que la utilización de otras modalidades de notificación constituye ineficaz si éstas no han sido autorizadas </w:t>
      </w:r>
      <w:r w:rsidRPr="005F215B">
        <w:rPr>
          <w:rFonts w:ascii="Tahoma" w:hAnsi="Tahoma" w:cs="Tahoma"/>
          <w:sz w:val="22"/>
          <w:szCs w:val="22"/>
        </w:rPr>
        <w:lastRenderedPageBreak/>
        <w:t>previamente por el postor o adjudicatario, tal como se advierte en el Acuerdo recaído en el expediente Nº 1016-2009.TC.</w:t>
      </w:r>
    </w:p>
    <w:p w:rsidR="00C813D2" w:rsidRPr="00096B4D" w:rsidRDefault="00C813D2" w:rsidP="00C813D2">
      <w:pPr>
        <w:ind w:left="567"/>
        <w:jc w:val="both"/>
        <w:rPr>
          <w:rFonts w:ascii="Tahoma" w:hAnsi="Tahoma" w:cs="Tahoma"/>
          <w:sz w:val="22"/>
          <w:szCs w:val="22"/>
          <w:lang w:val="es-PE"/>
        </w:rPr>
      </w:pPr>
    </w:p>
    <w:p w:rsidR="00C813D2" w:rsidRPr="005F215B" w:rsidRDefault="00C813D2" w:rsidP="00C813D2">
      <w:pPr>
        <w:ind w:left="567"/>
        <w:jc w:val="both"/>
        <w:rPr>
          <w:rFonts w:ascii="Tahoma" w:hAnsi="Tahoma" w:cs="Tahoma"/>
          <w:sz w:val="22"/>
          <w:szCs w:val="22"/>
          <w:lang w:val="es-PE"/>
        </w:rPr>
      </w:pPr>
      <w:r>
        <w:rPr>
          <w:rFonts w:ascii="Tahoma" w:hAnsi="Tahoma" w:cs="Tahoma"/>
          <w:sz w:val="22"/>
          <w:szCs w:val="22"/>
        </w:rPr>
        <w:t xml:space="preserve">Asimismo, señaló que </w:t>
      </w:r>
      <w:r w:rsidRPr="005360F2">
        <w:rPr>
          <w:rFonts w:ascii="Tahoma" w:hAnsi="Tahoma" w:cs="Tahoma"/>
          <w:sz w:val="22"/>
          <w:szCs w:val="22"/>
        </w:rPr>
        <w:t>erróneamente se ha invocado el artículo 27 de manera parcial, toda vez que consta de 2 incisos, el primero detalla de manera específica la circunstancias en que se puede sanear una notificación defectuosa por omisión de alguno de sus requisitos de contenido, mientras que el segundo, de manera complementaria, se refiere a otras modalidades por las que se puede tener por bien notificado al administrado pese a que exista una omisión de contenido, es decir, este último inciso se circunscribe únicamente a los previsto en el inciso primero y no para sanear o convalidar la modalidad de notificación, como ha ocurrido en el presente caso</w:t>
      </w:r>
    </w:p>
    <w:p w:rsidR="00C813D2" w:rsidRPr="005F215B" w:rsidRDefault="00C813D2" w:rsidP="00C813D2">
      <w:pPr>
        <w:pStyle w:val="Prrafodelista"/>
        <w:rPr>
          <w:rFonts w:ascii="Tahoma" w:hAnsi="Tahoma" w:cs="Tahoma"/>
          <w:sz w:val="22"/>
          <w:szCs w:val="22"/>
          <w:lang w:val="es-PE"/>
        </w:rPr>
      </w:pPr>
    </w:p>
    <w:p w:rsidR="00C813D2" w:rsidRPr="005F215B" w:rsidRDefault="00C813D2" w:rsidP="00C813D2">
      <w:pPr>
        <w:numPr>
          <w:ilvl w:val="0"/>
          <w:numId w:val="12"/>
        </w:numPr>
        <w:ind w:left="567" w:hanging="567"/>
        <w:jc w:val="both"/>
        <w:rPr>
          <w:rFonts w:ascii="Tahoma" w:hAnsi="Tahoma" w:cs="Tahoma"/>
          <w:sz w:val="22"/>
          <w:szCs w:val="22"/>
          <w:lang w:val="es-PE"/>
        </w:rPr>
      </w:pPr>
      <w:r>
        <w:rPr>
          <w:rFonts w:ascii="Tahoma" w:hAnsi="Tahoma" w:cs="Tahoma"/>
          <w:sz w:val="22"/>
          <w:szCs w:val="22"/>
          <w:lang w:val="es-PE"/>
        </w:rPr>
        <w:t>Al respecto</w:t>
      </w:r>
      <w:r w:rsidRPr="005F215B">
        <w:rPr>
          <w:rFonts w:ascii="Tahoma" w:hAnsi="Tahoma" w:cs="Tahoma"/>
          <w:sz w:val="22"/>
          <w:szCs w:val="22"/>
          <w:lang w:val="es-PE"/>
        </w:rPr>
        <w:t xml:space="preserve">, se puede advertir que el cuestionamiento realizado por el Postor, está referido al criterio adoptado por el Colegiado que emitió </w:t>
      </w:r>
      <w:r w:rsidRPr="005F215B">
        <w:rPr>
          <w:rFonts w:ascii="Tahoma" w:hAnsi="Tahoma" w:cs="Tahoma"/>
          <w:sz w:val="22"/>
          <w:szCs w:val="22"/>
        </w:rPr>
        <w:t>la Resolución Nº 1796-2010-TC-S1 de fecha 24 de setiembre del 2010, respecto a la convalidación de la notificación de la Carta Nº 357-2007-GL/MM de fecha 24 de agosto del 2007, realizada mediante fax.</w:t>
      </w:r>
    </w:p>
    <w:p w:rsidR="00C813D2" w:rsidRPr="005F215B" w:rsidRDefault="00C813D2" w:rsidP="00C813D2">
      <w:pPr>
        <w:pStyle w:val="Prrafodelista"/>
        <w:rPr>
          <w:rFonts w:ascii="Tahoma" w:hAnsi="Tahoma" w:cs="Tahoma"/>
          <w:sz w:val="22"/>
          <w:szCs w:val="22"/>
          <w:lang w:val="es-PE"/>
        </w:rPr>
      </w:pPr>
    </w:p>
    <w:p w:rsidR="00C813D2" w:rsidRPr="005F215B" w:rsidRDefault="00C813D2" w:rsidP="00C813D2">
      <w:pPr>
        <w:numPr>
          <w:ilvl w:val="0"/>
          <w:numId w:val="12"/>
        </w:numPr>
        <w:ind w:left="567" w:hanging="567"/>
        <w:jc w:val="both"/>
        <w:rPr>
          <w:rFonts w:ascii="Tahoma" w:hAnsi="Tahoma" w:cs="Tahoma"/>
          <w:sz w:val="22"/>
          <w:szCs w:val="22"/>
          <w:lang w:val="es-PE"/>
        </w:rPr>
      </w:pPr>
      <w:r w:rsidRPr="005F215B">
        <w:rPr>
          <w:rFonts w:ascii="Tahoma" w:hAnsi="Tahoma" w:cs="Tahoma"/>
          <w:sz w:val="22"/>
          <w:szCs w:val="22"/>
          <w:lang w:val="es-PE"/>
        </w:rPr>
        <w:t xml:space="preserve">Ahora bien, cabe precisar que de la verificación del numeral 5 de la resolución cuestionada, dicho Colegiado sustentó el criterio antes indicado en virtud </w:t>
      </w:r>
      <w:r>
        <w:rPr>
          <w:rFonts w:ascii="Tahoma" w:hAnsi="Tahoma" w:cs="Tahoma"/>
          <w:sz w:val="22"/>
          <w:szCs w:val="22"/>
          <w:lang w:val="es-PE"/>
        </w:rPr>
        <w:t>de la</w:t>
      </w:r>
      <w:r w:rsidRPr="005F215B">
        <w:rPr>
          <w:rFonts w:ascii="Tahoma" w:hAnsi="Tahoma" w:cs="Tahoma"/>
          <w:sz w:val="22"/>
          <w:szCs w:val="22"/>
          <w:lang w:val="es-PE"/>
        </w:rPr>
        <w:t xml:space="preserve"> aplicación de lo establecido en el artículo 27, numeral 27.2 de la Ley del Procedimiento Administrativo General, L</w:t>
      </w:r>
      <w:r>
        <w:rPr>
          <w:rFonts w:ascii="Tahoma" w:hAnsi="Tahoma" w:cs="Tahoma"/>
          <w:sz w:val="22"/>
          <w:szCs w:val="22"/>
          <w:lang w:val="es-PE"/>
        </w:rPr>
        <w:t>ey Nº 27444, el mismo que dispone</w:t>
      </w:r>
      <w:r w:rsidRPr="005F215B">
        <w:rPr>
          <w:rFonts w:ascii="Tahoma" w:hAnsi="Tahoma" w:cs="Tahoma"/>
          <w:sz w:val="22"/>
          <w:szCs w:val="22"/>
          <w:lang w:val="es-PE"/>
        </w:rPr>
        <w:t xml:space="preserve"> que “se tendrá por bien notificado al administrado, a partir de la realización de actuaciones procedimentales del interesado que permitan suponer razonablemente, que tuvo conocimiento oportuno del contenido o alcance de la resolución, o cuando interponga cualquier recurso que proceda”</w:t>
      </w:r>
      <w:r>
        <w:rPr>
          <w:rFonts w:ascii="Tahoma" w:hAnsi="Tahoma" w:cs="Tahoma"/>
          <w:sz w:val="22"/>
          <w:szCs w:val="22"/>
          <w:lang w:val="es-PE"/>
        </w:rPr>
        <w:t>, criterio que, además, ha sido establecido en anteriores pronunciamientos por parte de este Tribunal</w:t>
      </w:r>
      <w:r>
        <w:rPr>
          <w:rStyle w:val="Refdenotaalpie"/>
          <w:rFonts w:ascii="Tahoma" w:hAnsi="Tahoma" w:cs="Tahoma"/>
          <w:sz w:val="22"/>
          <w:szCs w:val="22"/>
          <w:lang w:val="es-PE"/>
        </w:rPr>
        <w:footnoteReference w:id="4"/>
      </w:r>
      <w:r>
        <w:rPr>
          <w:rFonts w:ascii="Tahoma" w:hAnsi="Tahoma" w:cs="Tahoma"/>
          <w:sz w:val="22"/>
          <w:szCs w:val="22"/>
          <w:lang w:val="es-PE"/>
        </w:rPr>
        <w:t>.</w:t>
      </w:r>
    </w:p>
    <w:p w:rsidR="00C813D2" w:rsidRPr="005F215B" w:rsidRDefault="00C813D2" w:rsidP="00C813D2">
      <w:pPr>
        <w:rPr>
          <w:rFonts w:ascii="Tahoma" w:hAnsi="Tahoma" w:cs="Tahoma"/>
          <w:sz w:val="22"/>
          <w:szCs w:val="22"/>
          <w:lang w:val="es-PE"/>
        </w:rPr>
      </w:pPr>
    </w:p>
    <w:p w:rsidR="00C813D2" w:rsidRPr="005F215B" w:rsidRDefault="00C813D2" w:rsidP="00C813D2">
      <w:pPr>
        <w:ind w:left="567"/>
        <w:jc w:val="both"/>
        <w:rPr>
          <w:rFonts w:ascii="Tahoma" w:hAnsi="Tahoma" w:cs="Tahoma"/>
          <w:sz w:val="22"/>
          <w:szCs w:val="22"/>
          <w:lang w:val="es-PE"/>
        </w:rPr>
      </w:pPr>
      <w:r w:rsidRPr="005F215B">
        <w:rPr>
          <w:rFonts w:ascii="Tahoma" w:hAnsi="Tahoma" w:cs="Tahoma"/>
          <w:sz w:val="22"/>
          <w:szCs w:val="22"/>
          <w:lang w:val="es-PE"/>
        </w:rPr>
        <w:t xml:space="preserve">Asimismo, y a fin de demostrar que dicho criterio se encuentra sustentado en la doctrina nacional e internacional, en el numeral 6 </w:t>
      </w:r>
      <w:r>
        <w:rPr>
          <w:rFonts w:ascii="Tahoma" w:hAnsi="Tahoma" w:cs="Tahoma"/>
          <w:sz w:val="22"/>
          <w:szCs w:val="22"/>
          <w:lang w:val="es-PE"/>
        </w:rPr>
        <w:t xml:space="preserve">de la fundamentación </w:t>
      </w:r>
      <w:r w:rsidRPr="005F215B">
        <w:rPr>
          <w:rFonts w:ascii="Tahoma" w:hAnsi="Tahoma" w:cs="Tahoma"/>
          <w:sz w:val="22"/>
          <w:szCs w:val="22"/>
          <w:lang w:val="es-PE"/>
        </w:rPr>
        <w:t>de dicha resolución se indicó que la doctrina reconoce la validez de dicha modalidad de saneamiento de manera clara y contundente, transcribiéndose la parte pertinente de los trabajos académicos realizados por Agustín Gordillo y Roberto Dromi.</w:t>
      </w:r>
    </w:p>
    <w:p w:rsidR="00C813D2" w:rsidRPr="005F215B" w:rsidRDefault="00C813D2" w:rsidP="00C813D2">
      <w:pPr>
        <w:ind w:left="567"/>
        <w:jc w:val="both"/>
        <w:rPr>
          <w:rFonts w:ascii="Tahoma" w:hAnsi="Tahoma" w:cs="Tahoma"/>
          <w:sz w:val="22"/>
          <w:szCs w:val="22"/>
          <w:lang w:val="es-PE"/>
        </w:rPr>
      </w:pPr>
    </w:p>
    <w:p w:rsidR="00C813D2" w:rsidRPr="005F215B" w:rsidRDefault="00C813D2" w:rsidP="00C813D2">
      <w:pPr>
        <w:numPr>
          <w:ilvl w:val="0"/>
          <w:numId w:val="12"/>
        </w:numPr>
        <w:ind w:left="567" w:hanging="567"/>
        <w:jc w:val="both"/>
        <w:rPr>
          <w:rFonts w:ascii="Tahoma" w:hAnsi="Tahoma" w:cs="Tahoma"/>
          <w:sz w:val="22"/>
          <w:szCs w:val="22"/>
          <w:lang w:val="es-PE"/>
        </w:rPr>
      </w:pPr>
      <w:r w:rsidRPr="005F215B">
        <w:rPr>
          <w:rFonts w:ascii="Tahoma" w:hAnsi="Tahoma" w:cs="Tahoma"/>
          <w:sz w:val="22"/>
          <w:szCs w:val="22"/>
          <w:lang w:val="es-PE"/>
        </w:rPr>
        <w:t>Nótese entonces, que en el presente caso, no cabe amparar la nulidad deducida por el Postor, al no existir contravención alguna a las leyes o normas reglamentarias ni por motivación defectuosa,</w:t>
      </w:r>
      <w:r w:rsidRPr="005F215B">
        <w:rPr>
          <w:rFonts w:ascii="Tahoma" w:hAnsi="Tahoma" w:cs="Tahoma"/>
          <w:sz w:val="22"/>
          <w:szCs w:val="22"/>
        </w:rPr>
        <w:t xml:space="preserve"> sino por el contrario, el Colegiado que emitió la Resolución Nº 1796-2010-TC-S1 de fecha 24 de setiembre del 2010</w:t>
      </w:r>
      <w:r w:rsidRPr="005F215B">
        <w:rPr>
          <w:rFonts w:ascii="Tahoma" w:hAnsi="Tahoma" w:cs="Tahoma"/>
          <w:sz w:val="22"/>
          <w:szCs w:val="22"/>
          <w:lang w:val="es-PE"/>
        </w:rPr>
        <w:t>,</w:t>
      </w:r>
      <w:r w:rsidRPr="005F215B">
        <w:rPr>
          <w:rFonts w:ascii="Tahoma" w:hAnsi="Tahoma" w:cs="Tahoma"/>
          <w:sz w:val="22"/>
          <w:szCs w:val="22"/>
        </w:rPr>
        <w:t xml:space="preserve"> consideró </w:t>
      </w:r>
      <w:r w:rsidRPr="005F215B">
        <w:rPr>
          <w:rFonts w:ascii="Tahoma" w:hAnsi="Tahoma" w:cs="Tahoma"/>
          <w:sz w:val="22"/>
          <w:szCs w:val="22"/>
          <w:lang w:val="es-PE"/>
        </w:rPr>
        <w:t xml:space="preserve">la mejor decisión que a su criterio cabía en el caso en concreto y aplicó la regla jurídica que estimó idónea, que en el presente caso fue el artículo </w:t>
      </w:r>
      <w:r w:rsidRPr="005F215B">
        <w:rPr>
          <w:rFonts w:ascii="Tahoma" w:hAnsi="Tahoma" w:cs="Tahoma"/>
          <w:sz w:val="22"/>
          <w:szCs w:val="22"/>
          <w:lang w:val="es-PE"/>
        </w:rPr>
        <w:lastRenderedPageBreak/>
        <w:t>27, numeral 27.2 de la Ley del Procedimiento Administrativo General, Ley Nº 27444, motivando y sustentado in exte</w:t>
      </w:r>
      <w:r>
        <w:rPr>
          <w:rFonts w:ascii="Tahoma" w:hAnsi="Tahoma" w:cs="Tahoma"/>
          <w:sz w:val="22"/>
          <w:szCs w:val="22"/>
          <w:lang w:val="es-PE"/>
        </w:rPr>
        <w:t>nso, dicho criterio.</w:t>
      </w:r>
    </w:p>
    <w:p w:rsidR="00C813D2" w:rsidRPr="005F215B" w:rsidRDefault="00C813D2" w:rsidP="00C813D2">
      <w:pPr>
        <w:ind w:left="567"/>
        <w:jc w:val="both"/>
        <w:rPr>
          <w:rFonts w:ascii="Tahoma" w:hAnsi="Tahoma" w:cs="Tahoma"/>
          <w:sz w:val="22"/>
          <w:szCs w:val="22"/>
          <w:lang w:val="es-PE"/>
        </w:rPr>
      </w:pPr>
    </w:p>
    <w:p w:rsidR="00C813D2" w:rsidRPr="005F215B" w:rsidRDefault="00C813D2" w:rsidP="00C813D2">
      <w:pPr>
        <w:ind w:left="567"/>
        <w:jc w:val="both"/>
        <w:rPr>
          <w:rFonts w:ascii="Tahoma" w:hAnsi="Tahoma" w:cs="Tahoma"/>
          <w:sz w:val="22"/>
          <w:szCs w:val="22"/>
          <w:lang w:val="es-PE"/>
        </w:rPr>
      </w:pPr>
      <w:r w:rsidRPr="005F215B">
        <w:rPr>
          <w:rFonts w:ascii="Tahoma" w:hAnsi="Tahoma" w:cs="Tahoma"/>
          <w:sz w:val="22"/>
          <w:szCs w:val="22"/>
          <w:lang w:val="es-PE"/>
        </w:rPr>
        <w:t>Asimismo, se debe precisar que si el administrado no estaba de acuerdo con el criterio antes referido, al considerarlo equivocado o controvertido, debió accionar los mecanismos que le franquean la Ley a fin de cuestionar dicha decisión frente a la misma autoridad emisora de dicha resolución, es decir a travé</w:t>
      </w:r>
      <w:r>
        <w:rPr>
          <w:rFonts w:ascii="Tahoma" w:hAnsi="Tahoma" w:cs="Tahoma"/>
          <w:sz w:val="22"/>
          <w:szCs w:val="22"/>
          <w:lang w:val="es-PE"/>
        </w:rPr>
        <w:t>s de la interposición del recurso de reconsideración</w:t>
      </w:r>
      <w:r w:rsidRPr="005F215B">
        <w:rPr>
          <w:rFonts w:ascii="Tahoma" w:hAnsi="Tahoma" w:cs="Tahoma"/>
          <w:sz w:val="22"/>
          <w:szCs w:val="22"/>
          <w:lang w:val="es-PE"/>
        </w:rPr>
        <w:t xml:space="preserve">, no obstante ello, no accionó dicho medio impugnatorio, por lo cual la Resolución </w:t>
      </w:r>
      <w:r w:rsidRPr="005F215B">
        <w:rPr>
          <w:rFonts w:ascii="Tahoma" w:hAnsi="Tahoma" w:cs="Tahoma"/>
          <w:sz w:val="22"/>
          <w:szCs w:val="22"/>
        </w:rPr>
        <w:t>Nº 1796-2010-TC-S1 de fecha 24 de setiembre del 2010,</w:t>
      </w:r>
      <w:r w:rsidRPr="005F215B">
        <w:rPr>
          <w:rFonts w:ascii="Tahoma" w:hAnsi="Tahoma" w:cs="Tahoma"/>
          <w:sz w:val="22"/>
          <w:szCs w:val="22"/>
          <w:lang w:val="es-PE"/>
        </w:rPr>
        <w:t xml:space="preserve"> ha quedado consentida administrativamente</w:t>
      </w:r>
      <w:r>
        <w:rPr>
          <w:rFonts w:ascii="Tahoma" w:hAnsi="Tahoma" w:cs="Tahoma"/>
          <w:sz w:val="22"/>
          <w:szCs w:val="22"/>
          <w:lang w:val="es-PE"/>
        </w:rPr>
        <w:t>, agotando la vía administrativa, no procediendo contra ella recursos de reconsideración, apelación ni revisión, quedando como única alternativa exclusivamente su impugnación en un proceso Contencioso Administrativo, de conformidad con lo dispuesto en el artículo 218 de la Ley de Procedimiento Administrativo General; ley 27444 concordado con el artículo 126 del Reglamento; sin perjuicio que el propio Tribunal declare de oficio la nulidad de la Resolución, en virtud de las facultades conferidas en el numeral 202.5 del artículo 205 de la Ley de Procedimiento Administrativo General, Ley 27444, modificado por el artículo 1 del Decreto Legislativo Nº 1029.</w:t>
      </w:r>
    </w:p>
    <w:p w:rsidR="00C813D2" w:rsidRPr="005F215B" w:rsidRDefault="00C813D2" w:rsidP="00C813D2">
      <w:pPr>
        <w:pStyle w:val="Prrafodelista"/>
        <w:rPr>
          <w:rFonts w:ascii="Tahoma" w:hAnsi="Tahoma" w:cs="Tahoma"/>
          <w:sz w:val="22"/>
          <w:szCs w:val="22"/>
          <w:lang w:val="es-PE"/>
        </w:rPr>
      </w:pPr>
    </w:p>
    <w:p w:rsidR="00C813D2" w:rsidRPr="005F215B" w:rsidRDefault="00C813D2" w:rsidP="00C813D2">
      <w:pPr>
        <w:numPr>
          <w:ilvl w:val="0"/>
          <w:numId w:val="12"/>
        </w:numPr>
        <w:ind w:left="567" w:hanging="567"/>
        <w:jc w:val="both"/>
        <w:rPr>
          <w:rFonts w:ascii="Tahoma" w:hAnsi="Tahoma" w:cs="Tahoma"/>
          <w:sz w:val="22"/>
          <w:szCs w:val="22"/>
          <w:lang w:val="es-PE"/>
        </w:rPr>
      </w:pPr>
      <w:r w:rsidRPr="005F215B">
        <w:rPr>
          <w:rFonts w:ascii="Tahoma" w:hAnsi="Tahoma" w:cs="Tahoma"/>
          <w:sz w:val="22"/>
          <w:szCs w:val="22"/>
          <w:lang w:val="es-PE"/>
        </w:rPr>
        <w:t xml:space="preserve">Por otra parte, el Postor también solicitó la nulidad de la resolución cuestionada </w:t>
      </w:r>
      <w:r w:rsidRPr="005F215B">
        <w:rPr>
          <w:rFonts w:ascii="Tahoma" w:hAnsi="Tahoma" w:cs="Tahoma"/>
          <w:sz w:val="22"/>
          <w:szCs w:val="22"/>
        </w:rPr>
        <w:t>al invocarse como fundamento legal el artículo 203 del Reglamento de la Ley de Contrataciones y Adquisiciones del Estado, el cual establece que dentro de los cinco (05) días hábiles siguientes al consentimiento de la Buena Pro, la Entidad debía citar al postor ganador, otorgándole un plazo de diez (10) días hábiles para suscribir el contrato, no obstante ello, no se tuvo en cuenta que dicha norma había sido modificada por el Decreto Supremo Nº 107-2007-PCM, publicado el 20 de julio del 2007, norma vigente a la fecha del otorgamiento de la Buena Pro, en el cual se estableció que únicamente a los dos (02) días hábiles siguientes al consentimiento de la Buena Pro, la Entidad debía citar al adjudicatario para la suscripción del contrato.</w:t>
      </w:r>
    </w:p>
    <w:p w:rsidR="00C813D2" w:rsidRPr="005F215B" w:rsidRDefault="00C813D2" w:rsidP="00C813D2">
      <w:pPr>
        <w:ind w:left="567"/>
        <w:jc w:val="both"/>
        <w:rPr>
          <w:rFonts w:ascii="Tahoma" w:hAnsi="Tahoma" w:cs="Tahoma"/>
          <w:sz w:val="22"/>
          <w:szCs w:val="22"/>
          <w:lang w:val="es-PE"/>
        </w:rPr>
      </w:pPr>
    </w:p>
    <w:p w:rsidR="00C813D2" w:rsidRPr="005F215B" w:rsidRDefault="00C813D2" w:rsidP="00C813D2">
      <w:pPr>
        <w:pStyle w:val="Prrafodelista"/>
        <w:ind w:left="567"/>
        <w:jc w:val="both"/>
        <w:rPr>
          <w:rFonts w:ascii="Tahoma" w:hAnsi="Tahoma" w:cs="Tahoma"/>
          <w:sz w:val="22"/>
          <w:szCs w:val="22"/>
        </w:rPr>
      </w:pPr>
      <w:r w:rsidRPr="005F215B">
        <w:rPr>
          <w:rFonts w:ascii="Tahoma" w:hAnsi="Tahoma" w:cs="Tahoma"/>
          <w:sz w:val="22"/>
          <w:szCs w:val="22"/>
        </w:rPr>
        <w:t xml:space="preserve">Por lo tanto, al aplicarse </w:t>
      </w:r>
      <w:r>
        <w:rPr>
          <w:rFonts w:ascii="Tahoma" w:hAnsi="Tahoma" w:cs="Tahoma"/>
          <w:sz w:val="22"/>
          <w:szCs w:val="22"/>
        </w:rPr>
        <w:t xml:space="preserve">el artículo 203 del Reglamento, modificado mediante </w:t>
      </w:r>
      <w:r w:rsidRPr="005F215B">
        <w:rPr>
          <w:rFonts w:ascii="Tahoma" w:hAnsi="Tahoma" w:cs="Tahoma"/>
          <w:sz w:val="22"/>
          <w:szCs w:val="22"/>
        </w:rPr>
        <w:t>el Decreto Supremo Nº 107-2007-PCM</w:t>
      </w:r>
      <w:r>
        <w:rPr>
          <w:rFonts w:ascii="Tahoma" w:hAnsi="Tahoma" w:cs="Tahoma"/>
          <w:sz w:val="22"/>
          <w:szCs w:val="22"/>
        </w:rPr>
        <w:t>,</w:t>
      </w:r>
      <w:r w:rsidRPr="005F215B">
        <w:rPr>
          <w:rFonts w:ascii="Tahoma" w:hAnsi="Tahoma" w:cs="Tahoma"/>
          <w:sz w:val="22"/>
          <w:szCs w:val="22"/>
        </w:rPr>
        <w:t xml:space="preserve"> norma vigente a la fecha del otorgamiento de la Buena Pro,</w:t>
      </w:r>
      <w:r>
        <w:rPr>
          <w:rFonts w:ascii="Tahoma" w:hAnsi="Tahoma" w:cs="Tahoma"/>
          <w:sz w:val="22"/>
          <w:szCs w:val="22"/>
        </w:rPr>
        <w:t xml:space="preserve"> </w:t>
      </w:r>
      <w:r w:rsidRPr="005F215B">
        <w:rPr>
          <w:rFonts w:ascii="Tahoma" w:hAnsi="Tahoma" w:cs="Tahoma"/>
          <w:sz w:val="22"/>
          <w:szCs w:val="22"/>
        </w:rPr>
        <w:t>se habría podido advertir que la Entidad no ha respetado el procedimiento para la suscripción del contrato, por lo cual no se debió haber procedido a imponer sanción administrativa, en aplicación del Acuerdo de Sala Plena Nº 007-2009 de fecha 25 de junio del 2009.</w:t>
      </w:r>
    </w:p>
    <w:p w:rsidR="00C813D2" w:rsidRPr="005F215B" w:rsidRDefault="00C813D2" w:rsidP="00C813D2">
      <w:pPr>
        <w:ind w:left="567"/>
        <w:jc w:val="both"/>
        <w:rPr>
          <w:rFonts w:ascii="Tahoma" w:hAnsi="Tahoma" w:cs="Tahoma"/>
          <w:sz w:val="22"/>
          <w:szCs w:val="22"/>
          <w:lang w:val="es-PE"/>
        </w:rPr>
      </w:pPr>
    </w:p>
    <w:p w:rsidR="00C813D2" w:rsidRPr="005F215B" w:rsidRDefault="00C813D2" w:rsidP="00C813D2">
      <w:pPr>
        <w:numPr>
          <w:ilvl w:val="0"/>
          <w:numId w:val="12"/>
        </w:numPr>
        <w:ind w:left="567" w:hanging="567"/>
        <w:jc w:val="both"/>
        <w:rPr>
          <w:rFonts w:ascii="Tahoma" w:hAnsi="Tahoma" w:cs="Tahoma"/>
          <w:sz w:val="22"/>
          <w:szCs w:val="22"/>
          <w:lang w:val="es-PE"/>
        </w:rPr>
      </w:pPr>
      <w:r w:rsidRPr="005F215B">
        <w:rPr>
          <w:rFonts w:ascii="Tahoma" w:hAnsi="Tahoma" w:cs="Tahoma"/>
          <w:sz w:val="22"/>
          <w:szCs w:val="22"/>
          <w:lang w:val="es-PE"/>
        </w:rPr>
        <w:t>Re</w:t>
      </w:r>
      <w:r>
        <w:rPr>
          <w:rFonts w:ascii="Tahoma" w:hAnsi="Tahoma" w:cs="Tahoma"/>
          <w:sz w:val="22"/>
          <w:szCs w:val="22"/>
          <w:lang w:val="es-PE"/>
        </w:rPr>
        <w:t xml:space="preserve">specto a ello, cabe señalar que en el numeral 7 de la fundamentación de la resolución cuestionada, se ha podido advertir que </w:t>
      </w:r>
      <w:r w:rsidRPr="005F215B">
        <w:rPr>
          <w:rFonts w:ascii="Tahoma" w:hAnsi="Tahoma" w:cs="Tahoma"/>
          <w:sz w:val="22"/>
          <w:szCs w:val="22"/>
          <w:lang w:val="es-PE"/>
        </w:rPr>
        <w:t xml:space="preserve">la norma que se consideró para verificar si la Entidad cumplió con el procedimiento para la suscripción del contrato, fue el artículo 203 del Reglamento, por lo cual se consignó que dentro de los cinco (05) días hábiles siguiente al consentimiento de la Buena Pro, la Entidad debía citar al postor ganador, otorgándole un plazo de diez (10) días </w:t>
      </w:r>
      <w:r w:rsidRPr="005F215B">
        <w:rPr>
          <w:rFonts w:ascii="Tahoma" w:hAnsi="Tahoma" w:cs="Tahoma"/>
          <w:sz w:val="22"/>
          <w:szCs w:val="22"/>
          <w:lang w:val="es-PE"/>
        </w:rPr>
        <w:lastRenderedPageBreak/>
        <w:t>hábiles dentro del cual debía presentarse a suscribir el contrato con la documentación requerida.</w:t>
      </w:r>
    </w:p>
    <w:p w:rsidR="00C813D2" w:rsidRPr="005F215B" w:rsidRDefault="00C813D2" w:rsidP="00C813D2">
      <w:pPr>
        <w:ind w:left="567"/>
        <w:jc w:val="both"/>
        <w:rPr>
          <w:rFonts w:ascii="Tahoma" w:hAnsi="Tahoma" w:cs="Tahoma"/>
          <w:sz w:val="22"/>
          <w:szCs w:val="22"/>
          <w:lang w:val="es-PE"/>
        </w:rPr>
      </w:pPr>
    </w:p>
    <w:p w:rsidR="00C813D2" w:rsidRPr="005F215B" w:rsidRDefault="00C813D2" w:rsidP="00C813D2">
      <w:pPr>
        <w:numPr>
          <w:ilvl w:val="0"/>
          <w:numId w:val="12"/>
        </w:numPr>
        <w:ind w:left="567" w:hanging="567"/>
        <w:jc w:val="both"/>
        <w:rPr>
          <w:rFonts w:ascii="Tahoma" w:hAnsi="Tahoma" w:cs="Tahoma"/>
          <w:sz w:val="22"/>
          <w:szCs w:val="22"/>
          <w:lang w:val="es-PE"/>
        </w:rPr>
      </w:pPr>
      <w:r>
        <w:rPr>
          <w:rFonts w:ascii="Tahoma" w:hAnsi="Tahoma" w:cs="Tahoma"/>
          <w:sz w:val="22"/>
          <w:szCs w:val="22"/>
          <w:lang w:val="es-PE"/>
        </w:rPr>
        <w:t>Ahora bien, se debe</w:t>
      </w:r>
      <w:r w:rsidRPr="005F215B">
        <w:rPr>
          <w:rFonts w:ascii="Tahoma" w:hAnsi="Tahoma" w:cs="Tahoma"/>
          <w:sz w:val="22"/>
          <w:szCs w:val="22"/>
          <w:lang w:val="es-PE"/>
        </w:rPr>
        <w:t xml:space="preserve"> precisar que, tal como lo ha señalado el Postor, efectivamente dicho artículo 203 fue modificado por el artículo 1 del Decreto Supremo Nº 107-2007-EF, el mismo que fue publicado el 20 de julio del 2007; no obstante ello, dicho decreto en su artículo 3 expresamente estableció que entrará en vigencia al día siguiente de su publicación en el Diario Oficial El Peruano, siendo de aplicación para los procesos de selección convocados a partir de dicha fecha.</w:t>
      </w:r>
    </w:p>
    <w:p w:rsidR="00C813D2" w:rsidRPr="005F215B" w:rsidRDefault="00C813D2" w:rsidP="00C813D2">
      <w:pPr>
        <w:pStyle w:val="Prrafodelista"/>
        <w:rPr>
          <w:rFonts w:ascii="Tahoma" w:hAnsi="Tahoma" w:cs="Tahoma"/>
          <w:sz w:val="22"/>
          <w:szCs w:val="22"/>
          <w:lang w:val="es-PE"/>
        </w:rPr>
      </w:pPr>
    </w:p>
    <w:p w:rsidR="00C813D2" w:rsidRDefault="00C813D2" w:rsidP="00C813D2">
      <w:pPr>
        <w:numPr>
          <w:ilvl w:val="0"/>
          <w:numId w:val="12"/>
        </w:numPr>
        <w:ind w:left="567" w:hanging="567"/>
        <w:jc w:val="both"/>
        <w:rPr>
          <w:rFonts w:ascii="Tahoma" w:hAnsi="Tahoma" w:cs="Tahoma"/>
          <w:sz w:val="22"/>
          <w:szCs w:val="22"/>
          <w:lang w:val="es-PE"/>
        </w:rPr>
      </w:pPr>
      <w:r w:rsidRPr="005F215B">
        <w:rPr>
          <w:rFonts w:ascii="Tahoma" w:hAnsi="Tahoma" w:cs="Tahoma"/>
          <w:sz w:val="22"/>
          <w:szCs w:val="22"/>
          <w:lang w:val="es-PE"/>
        </w:rPr>
        <w:t xml:space="preserve">En tal sentido, advirtiéndose que la Adjudicación Directa Selectiva Nº 001-2007-CE/MM fue convocada el día 20 de julio del 2007, y teniendo en consideración que el Decreto Supremo Nº 107-2007-EF entró en vigencia a partir del 21 de julio del 2007, es decir un día después de su publicación, en tal sentido, tal como lo consideró la Resolución </w:t>
      </w:r>
      <w:r w:rsidRPr="005F215B">
        <w:rPr>
          <w:rFonts w:ascii="Tahoma" w:hAnsi="Tahoma" w:cs="Tahoma"/>
          <w:sz w:val="22"/>
          <w:szCs w:val="22"/>
        </w:rPr>
        <w:t>Nº 1796-2010-TC-S1 de fecha 24 de setiembre del 2010,</w:t>
      </w:r>
      <w:r w:rsidRPr="005F215B">
        <w:rPr>
          <w:rFonts w:ascii="Tahoma" w:hAnsi="Tahoma" w:cs="Tahoma"/>
          <w:sz w:val="22"/>
          <w:szCs w:val="22"/>
          <w:lang w:val="es-PE"/>
        </w:rPr>
        <w:t xml:space="preserve"> la norma aplicable al presente caso, era el artículo 203 del Reglamento de la Ley de Contrataciones y Adquisiciones del Estado</w:t>
      </w:r>
      <w:r>
        <w:rPr>
          <w:rFonts w:ascii="Tahoma" w:hAnsi="Tahoma" w:cs="Tahoma"/>
          <w:sz w:val="22"/>
          <w:szCs w:val="22"/>
          <w:lang w:val="es-PE"/>
        </w:rPr>
        <w:t xml:space="preserve"> y no así la modificación de dicho artículo a través del </w:t>
      </w:r>
      <w:r w:rsidRPr="005F215B">
        <w:rPr>
          <w:rFonts w:ascii="Tahoma" w:hAnsi="Tahoma" w:cs="Tahoma"/>
          <w:sz w:val="22"/>
          <w:szCs w:val="22"/>
          <w:lang w:val="es-PE"/>
        </w:rPr>
        <w:t>Decreto Supremo Nº 107-2007-EF, por lo tanto, en este punto, tampoco cabe amparar la nulidad solicitada por el Postor</w:t>
      </w:r>
      <w:r>
        <w:rPr>
          <w:rFonts w:ascii="Tahoma" w:hAnsi="Tahoma" w:cs="Tahoma"/>
          <w:sz w:val="22"/>
          <w:szCs w:val="22"/>
          <w:lang w:val="es-PE"/>
        </w:rPr>
        <w:t xml:space="preserve"> en dicho extremo</w:t>
      </w:r>
      <w:r w:rsidRPr="005F215B">
        <w:rPr>
          <w:rFonts w:ascii="Tahoma" w:hAnsi="Tahoma" w:cs="Tahoma"/>
          <w:sz w:val="22"/>
          <w:szCs w:val="22"/>
          <w:lang w:val="es-PE"/>
        </w:rPr>
        <w:t>.</w:t>
      </w:r>
    </w:p>
    <w:p w:rsidR="00C813D2" w:rsidRDefault="00C813D2" w:rsidP="00C813D2">
      <w:pPr>
        <w:pStyle w:val="Prrafodelista"/>
        <w:rPr>
          <w:rFonts w:ascii="Tahoma" w:hAnsi="Tahoma" w:cs="Tahoma"/>
          <w:sz w:val="22"/>
          <w:szCs w:val="22"/>
          <w:lang w:val="es-PE"/>
        </w:rPr>
      </w:pPr>
    </w:p>
    <w:p w:rsidR="00C813D2" w:rsidRPr="005F215B" w:rsidRDefault="00C813D2" w:rsidP="00C813D2">
      <w:pPr>
        <w:numPr>
          <w:ilvl w:val="0"/>
          <w:numId w:val="12"/>
        </w:numPr>
        <w:ind w:left="567" w:hanging="567"/>
        <w:jc w:val="both"/>
        <w:rPr>
          <w:rFonts w:ascii="Tahoma" w:hAnsi="Tahoma" w:cs="Tahoma"/>
          <w:sz w:val="22"/>
          <w:szCs w:val="22"/>
          <w:lang w:val="es-PE"/>
        </w:rPr>
      </w:pPr>
      <w:r w:rsidRPr="005F215B">
        <w:rPr>
          <w:rFonts w:ascii="Tahoma" w:hAnsi="Tahoma" w:cs="Tahoma"/>
          <w:sz w:val="22"/>
          <w:szCs w:val="22"/>
          <w:lang w:val="es-PE"/>
        </w:rPr>
        <w:t xml:space="preserve">Visto así, se observa que la resolución en cuestión no adolece de ningún vicio de validez ni de </w:t>
      </w:r>
      <w:r>
        <w:rPr>
          <w:rFonts w:ascii="Tahoma" w:hAnsi="Tahoma" w:cs="Tahoma"/>
          <w:sz w:val="22"/>
          <w:szCs w:val="22"/>
          <w:lang w:val="es-PE"/>
        </w:rPr>
        <w:t xml:space="preserve">alguna </w:t>
      </w:r>
      <w:r w:rsidRPr="005F215B">
        <w:rPr>
          <w:rFonts w:ascii="Tahoma" w:hAnsi="Tahoma" w:cs="Tahoma"/>
          <w:sz w:val="22"/>
          <w:szCs w:val="22"/>
          <w:lang w:val="es-PE"/>
        </w:rPr>
        <w:t>causal privativa de los efectos jurídicos, al haber sido emitida en cumplimiento del procedimiento regular que precede a su expedición, por lo que no resulta de aplicación el artículo 10 de la Ley del Procedimiento Administrativo General</w:t>
      </w:r>
      <w:r w:rsidRPr="005F215B">
        <w:rPr>
          <w:rStyle w:val="Refdenotaalpie"/>
          <w:rFonts w:ascii="Tahoma" w:hAnsi="Tahoma" w:cs="Tahoma"/>
          <w:sz w:val="22"/>
          <w:szCs w:val="22"/>
        </w:rPr>
        <w:footnoteReference w:id="5"/>
      </w:r>
      <w:r w:rsidRPr="005F215B">
        <w:rPr>
          <w:rFonts w:ascii="Tahoma" w:hAnsi="Tahoma" w:cs="Tahoma"/>
          <w:sz w:val="22"/>
          <w:szCs w:val="22"/>
          <w:lang w:val="es-PE"/>
        </w:rPr>
        <w:t>. Por lo expuesto, no corresponde declarar la nulid</w:t>
      </w:r>
      <w:r>
        <w:rPr>
          <w:rFonts w:ascii="Tahoma" w:hAnsi="Tahoma" w:cs="Tahoma"/>
          <w:sz w:val="22"/>
          <w:szCs w:val="22"/>
          <w:lang w:val="es-PE"/>
        </w:rPr>
        <w:t>ad de la resolución cuestionada, el cual, además de reúne todos los requisitos de validez contemplados en el artículo 3 de la Ley Nº 27444.</w:t>
      </w:r>
    </w:p>
    <w:p w:rsidR="00C813D2" w:rsidRPr="00C813D2" w:rsidRDefault="00C813D2" w:rsidP="00C813D2">
      <w:pPr>
        <w:jc w:val="both"/>
        <w:rPr>
          <w:rFonts w:ascii="Tahoma" w:hAnsi="Tahoma" w:cs="Tahoma"/>
          <w:sz w:val="21"/>
          <w:szCs w:val="21"/>
          <w:lang w:val="es-PE"/>
        </w:rPr>
      </w:pPr>
    </w:p>
    <w:p w:rsidR="00C813D2" w:rsidRPr="00AD6B2B" w:rsidRDefault="00C813D2" w:rsidP="00C813D2">
      <w:pPr>
        <w:tabs>
          <w:tab w:val="left" w:pos="3544"/>
          <w:tab w:val="left" w:pos="7230"/>
          <w:tab w:val="left" w:pos="8505"/>
        </w:tabs>
        <w:ind w:right="-1" w:firstLine="567"/>
        <w:jc w:val="both"/>
        <w:rPr>
          <w:rFonts w:ascii="Tahoma" w:eastAsiaTheme="minorHAnsi" w:hAnsi="Tahoma" w:cs="Tahoma"/>
          <w:color w:val="000000"/>
          <w:sz w:val="22"/>
          <w:szCs w:val="22"/>
        </w:rPr>
      </w:pPr>
      <w:r w:rsidRPr="00AD6B2B">
        <w:rPr>
          <w:rFonts w:ascii="Tahoma" w:hAnsi="Tahoma" w:cs="Tahoma"/>
          <w:sz w:val="22"/>
          <w:szCs w:val="22"/>
        </w:rPr>
        <w:t xml:space="preserve">Por estos fundamentos, </w:t>
      </w:r>
      <w:r w:rsidRPr="00AD6B2B">
        <w:rPr>
          <w:rFonts w:ascii="Tahoma" w:hAnsi="Tahoma" w:cs="Tahoma"/>
          <w:color w:val="000000"/>
          <w:sz w:val="22"/>
          <w:szCs w:val="22"/>
        </w:rPr>
        <w:t>de conformidad con el inf</w:t>
      </w:r>
      <w:r w:rsidRPr="00AD6B2B">
        <w:rPr>
          <w:rFonts w:ascii="Tahoma" w:eastAsia="Calibri" w:hAnsi="Tahoma" w:cs="Tahoma"/>
          <w:color w:val="000000"/>
          <w:sz w:val="22"/>
          <w:szCs w:val="22"/>
        </w:rPr>
        <w:t xml:space="preserve">orme de la Vocal Ponente Dra. Ada Rosa Basulto Liewald y la intervención de los Señores Vocales </w:t>
      </w:r>
      <w:r w:rsidRPr="00AD6B2B">
        <w:rPr>
          <w:rFonts w:ascii="Tahoma" w:eastAsiaTheme="minorHAnsi" w:hAnsi="Tahoma" w:cs="Tahoma"/>
          <w:color w:val="000000"/>
          <w:sz w:val="22"/>
          <w:szCs w:val="22"/>
        </w:rPr>
        <w:t xml:space="preserve">Dr. Carlos Vicente Navas Rondón y </w:t>
      </w:r>
      <w:r w:rsidRPr="00AD6B2B">
        <w:rPr>
          <w:rFonts w:ascii="Tahoma" w:eastAsia="Calibri" w:hAnsi="Tahoma" w:cs="Tahoma"/>
          <w:color w:val="000000"/>
          <w:sz w:val="22"/>
          <w:szCs w:val="22"/>
        </w:rPr>
        <w:t xml:space="preserve">Dra. Janette Elke Ramírez Maynetto; </w:t>
      </w:r>
      <w:r w:rsidRPr="00AD6B2B">
        <w:rPr>
          <w:rFonts w:ascii="Tahoma" w:eastAsiaTheme="minorHAnsi" w:hAnsi="Tahoma" w:cs="Tahoma"/>
          <w:color w:val="000000"/>
          <w:sz w:val="22"/>
          <w:szCs w:val="22"/>
        </w:rPr>
        <w:t xml:space="preserve">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w:t>
      </w:r>
      <w:r w:rsidRPr="00AD6B2B">
        <w:rPr>
          <w:rFonts w:ascii="Tahoma" w:eastAsiaTheme="minorHAnsi" w:hAnsi="Tahoma" w:cs="Tahoma"/>
          <w:color w:val="000000"/>
          <w:sz w:val="22"/>
          <w:szCs w:val="22"/>
        </w:rPr>
        <w:lastRenderedPageBreak/>
        <w:t>Estado, aprobada por Decreto Legislativo № 1017, y los artículos 17 y 18 del Reglamento de Organización y Funciones del OSCE, aprobado por Decreto Supremo № 006-2009-EF, analizados los antecedentes y luego de agotado el debate correspondiente, por unanimidad</w:t>
      </w:r>
    </w:p>
    <w:p w:rsidR="00C813D2" w:rsidRPr="00AD6B2B" w:rsidRDefault="00C813D2" w:rsidP="00C813D2">
      <w:pPr>
        <w:ind w:firstLine="426"/>
        <w:jc w:val="both"/>
        <w:rPr>
          <w:rFonts w:ascii="Tahoma" w:hAnsi="Tahoma" w:cs="Tahoma"/>
          <w:sz w:val="22"/>
          <w:szCs w:val="22"/>
        </w:rPr>
      </w:pPr>
    </w:p>
    <w:p w:rsidR="00C813D2" w:rsidRPr="00AD6B2B" w:rsidRDefault="00C813D2" w:rsidP="00C813D2">
      <w:pPr>
        <w:ind w:firstLine="567"/>
        <w:jc w:val="both"/>
        <w:rPr>
          <w:rFonts w:ascii="Tahoma" w:hAnsi="Tahoma" w:cs="Tahoma"/>
          <w:b/>
          <w:sz w:val="22"/>
          <w:szCs w:val="22"/>
        </w:rPr>
      </w:pPr>
      <w:r w:rsidRPr="00AD6B2B">
        <w:rPr>
          <w:rFonts w:ascii="Tahoma" w:hAnsi="Tahoma" w:cs="Tahoma"/>
          <w:b/>
          <w:sz w:val="22"/>
          <w:szCs w:val="22"/>
        </w:rPr>
        <w:t xml:space="preserve">LA SALA RESUELVE: </w:t>
      </w:r>
    </w:p>
    <w:p w:rsidR="00C813D2" w:rsidRPr="00AD6B2B" w:rsidRDefault="00C813D2" w:rsidP="00C813D2">
      <w:pPr>
        <w:jc w:val="both"/>
        <w:rPr>
          <w:rFonts w:ascii="Tahoma" w:hAnsi="Tahoma" w:cs="Tahoma"/>
          <w:snapToGrid w:val="0"/>
          <w:sz w:val="22"/>
          <w:szCs w:val="22"/>
        </w:rPr>
      </w:pPr>
    </w:p>
    <w:p w:rsidR="00C813D2" w:rsidRDefault="00C813D2" w:rsidP="00C813D2">
      <w:pPr>
        <w:numPr>
          <w:ilvl w:val="0"/>
          <w:numId w:val="15"/>
        </w:numPr>
        <w:tabs>
          <w:tab w:val="clear" w:pos="720"/>
          <w:tab w:val="num" w:pos="540"/>
        </w:tabs>
        <w:ind w:left="567" w:hanging="567"/>
        <w:jc w:val="both"/>
        <w:rPr>
          <w:rFonts w:ascii="Tahoma" w:hAnsi="Tahoma" w:cs="Tahoma"/>
          <w:sz w:val="22"/>
          <w:szCs w:val="22"/>
          <w:lang w:val="es-PE"/>
        </w:rPr>
      </w:pPr>
      <w:r w:rsidRPr="007C6178">
        <w:rPr>
          <w:rFonts w:ascii="Tahoma" w:hAnsi="Tahoma" w:cs="Tahoma"/>
          <w:sz w:val="22"/>
          <w:szCs w:val="22"/>
        </w:rPr>
        <w:t>D</w:t>
      </w:r>
      <w:r w:rsidRPr="007C6178">
        <w:rPr>
          <w:rFonts w:ascii="Tahoma" w:hAnsi="Tahoma" w:cs="Tahoma"/>
          <w:sz w:val="22"/>
          <w:szCs w:val="22"/>
          <w:lang w:val="es-PE"/>
        </w:rPr>
        <w:t>eclarar la nulidad de la notificación de la Resolución Nº 1796-2010-TC-S1, realizada a través de la Cédula de Notificación Nº 24270/2010.TC, debiéndose proceder a realizar una nueva notificación, en virtud a los fundamentos antes expuestos.</w:t>
      </w:r>
    </w:p>
    <w:p w:rsidR="00C813D2" w:rsidRDefault="00C813D2" w:rsidP="00C813D2">
      <w:pPr>
        <w:tabs>
          <w:tab w:val="num" w:pos="540"/>
        </w:tabs>
        <w:ind w:left="567"/>
        <w:jc w:val="both"/>
        <w:rPr>
          <w:rFonts w:ascii="Tahoma" w:hAnsi="Tahoma" w:cs="Tahoma"/>
          <w:sz w:val="22"/>
          <w:szCs w:val="22"/>
          <w:lang w:val="es-PE"/>
        </w:rPr>
      </w:pPr>
      <w:r w:rsidRPr="007C6178">
        <w:rPr>
          <w:rFonts w:ascii="Tahoma" w:hAnsi="Tahoma" w:cs="Tahoma"/>
          <w:sz w:val="22"/>
          <w:szCs w:val="22"/>
          <w:lang w:val="es-PE"/>
        </w:rPr>
        <w:t xml:space="preserve"> </w:t>
      </w:r>
    </w:p>
    <w:p w:rsidR="00C813D2" w:rsidRPr="00512705" w:rsidRDefault="00C813D2" w:rsidP="00C813D2">
      <w:pPr>
        <w:numPr>
          <w:ilvl w:val="0"/>
          <w:numId w:val="15"/>
        </w:numPr>
        <w:tabs>
          <w:tab w:val="clear" w:pos="720"/>
          <w:tab w:val="num" w:pos="540"/>
        </w:tabs>
        <w:ind w:left="567" w:hanging="567"/>
        <w:jc w:val="both"/>
        <w:rPr>
          <w:rFonts w:ascii="Tahoma" w:hAnsi="Tahoma" w:cs="Tahoma"/>
          <w:sz w:val="22"/>
          <w:szCs w:val="22"/>
          <w:lang w:val="es-PE"/>
        </w:rPr>
      </w:pPr>
      <w:r w:rsidRPr="00512705">
        <w:rPr>
          <w:rFonts w:ascii="Tahoma" w:hAnsi="Tahoma" w:cs="Tahoma"/>
          <w:sz w:val="22"/>
          <w:szCs w:val="22"/>
        </w:rPr>
        <w:t>Declarar no ha lugar el pedido de nulidad de la Resolución Nº 1796-2010-TC-S1 de fecha 24 de setiembre del 2010, mediante la cual se dispuso imponer a la empresa DITRANSERVA S.A.C. la sanción administrativa de inhabilitación temporal por el periodo de quince (15) meses, en sus derechos de participar en procesos de selección y contratar con el Estado, por incurrir en la infracción tipificada en el numeral 1) del artículo 294 del Reglamento de la Ley de Contrataciones y Adquisiciones del Estado.</w:t>
      </w:r>
    </w:p>
    <w:p w:rsidR="00C813D2" w:rsidRPr="00AD6B2B" w:rsidRDefault="00C813D2" w:rsidP="00C813D2">
      <w:pPr>
        <w:pStyle w:val="Textoindependiente21"/>
        <w:ind w:firstLine="567"/>
        <w:rPr>
          <w:rFonts w:cs="Tahoma"/>
          <w:szCs w:val="22"/>
        </w:rPr>
      </w:pPr>
      <w:r w:rsidRPr="00AD6B2B">
        <w:rPr>
          <w:rFonts w:cs="Tahoma"/>
          <w:szCs w:val="22"/>
        </w:rPr>
        <w:t>Regístrese, comuníquese y publíquese.</w:t>
      </w:r>
    </w:p>
    <w:p w:rsidR="00C813D2" w:rsidRPr="00AD6B2B" w:rsidRDefault="00C813D2" w:rsidP="00C813D2">
      <w:pPr>
        <w:jc w:val="center"/>
        <w:rPr>
          <w:rFonts w:ascii="Tahoma" w:hAnsi="Tahoma" w:cs="Tahoma"/>
          <w:b/>
          <w:sz w:val="22"/>
          <w:szCs w:val="22"/>
        </w:rPr>
      </w:pPr>
    </w:p>
    <w:p w:rsidR="00C813D2" w:rsidRPr="00AD6B2B" w:rsidRDefault="00C813D2" w:rsidP="00C813D2">
      <w:pPr>
        <w:jc w:val="center"/>
        <w:rPr>
          <w:rFonts w:ascii="Tahoma" w:hAnsi="Tahoma" w:cs="Tahoma"/>
          <w:b/>
          <w:sz w:val="22"/>
          <w:szCs w:val="22"/>
        </w:rPr>
      </w:pPr>
    </w:p>
    <w:p w:rsidR="00C813D2" w:rsidRDefault="00C813D2" w:rsidP="00C813D2">
      <w:pPr>
        <w:jc w:val="center"/>
        <w:rPr>
          <w:rFonts w:ascii="Tahoma" w:hAnsi="Tahoma" w:cs="Tahoma"/>
          <w:b/>
          <w:sz w:val="22"/>
          <w:szCs w:val="22"/>
        </w:rPr>
      </w:pPr>
    </w:p>
    <w:p w:rsidR="00C813D2" w:rsidRDefault="00C813D2" w:rsidP="00C813D2">
      <w:pPr>
        <w:jc w:val="center"/>
        <w:rPr>
          <w:rFonts w:ascii="Tahoma" w:hAnsi="Tahoma" w:cs="Tahoma"/>
          <w:b/>
          <w:sz w:val="22"/>
          <w:szCs w:val="22"/>
        </w:rPr>
      </w:pPr>
    </w:p>
    <w:p w:rsidR="00C813D2" w:rsidRDefault="00C813D2" w:rsidP="00C813D2">
      <w:pPr>
        <w:jc w:val="center"/>
        <w:rPr>
          <w:rFonts w:ascii="Tahoma" w:hAnsi="Tahoma" w:cs="Tahoma"/>
          <w:b/>
          <w:sz w:val="22"/>
          <w:szCs w:val="22"/>
        </w:rPr>
      </w:pPr>
    </w:p>
    <w:p w:rsidR="00C813D2" w:rsidRPr="00AD6B2B" w:rsidRDefault="00C813D2" w:rsidP="00C813D2">
      <w:pPr>
        <w:jc w:val="center"/>
        <w:rPr>
          <w:rFonts w:ascii="Tahoma" w:hAnsi="Tahoma" w:cs="Tahoma"/>
          <w:b/>
          <w:sz w:val="22"/>
          <w:szCs w:val="22"/>
        </w:rPr>
      </w:pPr>
    </w:p>
    <w:p w:rsidR="00C813D2" w:rsidRPr="00AD6B2B" w:rsidRDefault="00C813D2" w:rsidP="00C813D2">
      <w:pPr>
        <w:jc w:val="center"/>
        <w:rPr>
          <w:rFonts w:ascii="Tahoma" w:hAnsi="Tahoma" w:cs="Tahoma"/>
          <w:b/>
          <w:sz w:val="22"/>
          <w:szCs w:val="22"/>
        </w:rPr>
      </w:pPr>
    </w:p>
    <w:p w:rsidR="00C813D2" w:rsidRPr="00AD6B2B" w:rsidRDefault="00C813D2" w:rsidP="00C813D2">
      <w:pPr>
        <w:jc w:val="center"/>
        <w:rPr>
          <w:rFonts w:ascii="Tahoma" w:hAnsi="Tahoma" w:cs="Tahoma"/>
          <w:b/>
          <w:sz w:val="22"/>
          <w:szCs w:val="22"/>
        </w:rPr>
      </w:pPr>
    </w:p>
    <w:p w:rsidR="00C813D2" w:rsidRPr="00AD6B2B" w:rsidRDefault="00C813D2" w:rsidP="00C813D2">
      <w:pPr>
        <w:jc w:val="center"/>
        <w:rPr>
          <w:rFonts w:ascii="Tahoma" w:hAnsi="Tahoma" w:cs="Tahoma"/>
          <w:b/>
          <w:shadow/>
          <w:sz w:val="22"/>
          <w:szCs w:val="22"/>
          <w:lang w:val="pt-BR"/>
        </w:rPr>
      </w:pPr>
      <w:r w:rsidRPr="00AD6B2B">
        <w:rPr>
          <w:rFonts w:ascii="Tahoma" w:hAnsi="Tahoma" w:cs="Tahoma"/>
          <w:b/>
          <w:shadow/>
          <w:sz w:val="22"/>
          <w:szCs w:val="22"/>
          <w:lang w:val="pt-BR"/>
        </w:rPr>
        <w:t>PRESIDENTE</w:t>
      </w:r>
    </w:p>
    <w:p w:rsidR="00C813D2" w:rsidRPr="00AD6B2B" w:rsidRDefault="00C813D2" w:rsidP="00C813D2">
      <w:pPr>
        <w:ind w:firstLine="708"/>
        <w:rPr>
          <w:rFonts w:ascii="Tahoma" w:hAnsi="Tahoma" w:cs="Tahoma"/>
          <w:b/>
          <w:shadow/>
          <w:sz w:val="22"/>
          <w:szCs w:val="22"/>
          <w:lang w:val="pt-BR"/>
        </w:rPr>
      </w:pPr>
    </w:p>
    <w:p w:rsidR="00C813D2" w:rsidRPr="00AD6B2B" w:rsidRDefault="00C813D2" w:rsidP="00C813D2">
      <w:pPr>
        <w:ind w:firstLine="708"/>
        <w:rPr>
          <w:rFonts w:ascii="Tahoma" w:hAnsi="Tahoma" w:cs="Tahoma"/>
          <w:b/>
          <w:shadow/>
          <w:sz w:val="22"/>
          <w:szCs w:val="22"/>
          <w:lang w:val="pt-BR"/>
        </w:rPr>
      </w:pPr>
      <w:r w:rsidRPr="00AD6B2B">
        <w:rPr>
          <w:rFonts w:ascii="Tahoma" w:hAnsi="Tahoma" w:cs="Tahoma"/>
          <w:b/>
          <w:shadow/>
          <w:sz w:val="22"/>
          <w:szCs w:val="22"/>
          <w:lang w:val="pt-BR"/>
        </w:rPr>
        <w:t xml:space="preserve">VOCAL           </w:t>
      </w:r>
      <w:r w:rsidRPr="00AD6B2B">
        <w:rPr>
          <w:rFonts w:ascii="Tahoma" w:hAnsi="Tahoma" w:cs="Tahoma"/>
          <w:b/>
          <w:shadow/>
          <w:sz w:val="22"/>
          <w:szCs w:val="22"/>
          <w:lang w:val="pt-BR"/>
        </w:rPr>
        <w:tab/>
      </w:r>
      <w:r w:rsidRPr="00AD6B2B">
        <w:rPr>
          <w:rFonts w:ascii="Tahoma" w:hAnsi="Tahoma" w:cs="Tahoma"/>
          <w:b/>
          <w:shadow/>
          <w:sz w:val="22"/>
          <w:szCs w:val="22"/>
          <w:lang w:val="pt-BR"/>
        </w:rPr>
        <w:tab/>
        <w:t xml:space="preserve">          </w:t>
      </w:r>
      <w:r>
        <w:rPr>
          <w:rFonts w:ascii="Tahoma" w:hAnsi="Tahoma" w:cs="Tahoma"/>
          <w:b/>
          <w:shadow/>
          <w:sz w:val="22"/>
          <w:szCs w:val="22"/>
          <w:lang w:val="pt-BR"/>
        </w:rPr>
        <w:t xml:space="preserve">                           </w:t>
      </w:r>
      <w:r w:rsidRPr="00AD6B2B">
        <w:rPr>
          <w:rFonts w:ascii="Tahoma" w:hAnsi="Tahoma" w:cs="Tahoma"/>
          <w:b/>
          <w:shadow/>
          <w:sz w:val="22"/>
          <w:szCs w:val="22"/>
          <w:lang w:val="pt-BR"/>
        </w:rPr>
        <w:t xml:space="preserve">                       VOCAL</w:t>
      </w:r>
    </w:p>
    <w:p w:rsidR="00C813D2" w:rsidRPr="00AD6B2B" w:rsidRDefault="00C813D2" w:rsidP="00C813D2">
      <w:pPr>
        <w:rPr>
          <w:rFonts w:ascii="Tahoma" w:hAnsi="Tahoma" w:cs="Tahoma"/>
          <w:sz w:val="22"/>
          <w:szCs w:val="22"/>
          <w:lang w:val="pt-BR"/>
        </w:rPr>
      </w:pPr>
    </w:p>
    <w:p w:rsidR="00C813D2" w:rsidRPr="00AD6B2B" w:rsidRDefault="00C813D2" w:rsidP="00C813D2">
      <w:pPr>
        <w:rPr>
          <w:rFonts w:ascii="Tahoma" w:hAnsi="Tahoma" w:cs="Tahoma"/>
          <w:sz w:val="22"/>
          <w:szCs w:val="22"/>
          <w:lang w:val="pt-BR"/>
        </w:rPr>
      </w:pPr>
    </w:p>
    <w:p w:rsidR="00C813D2" w:rsidRPr="00AD6B2B" w:rsidRDefault="00C813D2" w:rsidP="00C813D2">
      <w:pPr>
        <w:jc w:val="both"/>
        <w:rPr>
          <w:rFonts w:ascii="Tahoma" w:hAnsi="Tahoma" w:cs="Tahoma"/>
          <w:sz w:val="22"/>
          <w:szCs w:val="22"/>
          <w:lang w:val="pt-BR"/>
        </w:rPr>
      </w:pPr>
      <w:r w:rsidRPr="00AD6B2B">
        <w:rPr>
          <w:rFonts w:ascii="Tahoma" w:hAnsi="Tahoma" w:cs="Tahoma"/>
          <w:sz w:val="22"/>
          <w:szCs w:val="22"/>
          <w:lang w:val="pt-BR"/>
        </w:rPr>
        <w:t>ss.</w:t>
      </w:r>
    </w:p>
    <w:p w:rsidR="00C813D2" w:rsidRPr="00AD6B2B" w:rsidRDefault="00C813D2" w:rsidP="00C813D2">
      <w:pPr>
        <w:jc w:val="both"/>
        <w:rPr>
          <w:rFonts w:ascii="Tahoma" w:hAnsi="Tahoma" w:cs="Tahoma"/>
          <w:sz w:val="22"/>
          <w:szCs w:val="22"/>
          <w:lang w:val="pt-BR"/>
        </w:rPr>
      </w:pPr>
      <w:r w:rsidRPr="00AD6B2B">
        <w:rPr>
          <w:rFonts w:ascii="Tahoma" w:hAnsi="Tahoma" w:cs="Tahoma"/>
          <w:sz w:val="22"/>
          <w:szCs w:val="22"/>
          <w:lang w:val="pt-BR"/>
        </w:rPr>
        <w:t>Navas Rondon</w:t>
      </w:r>
    </w:p>
    <w:p w:rsidR="00C813D2" w:rsidRPr="00AD6B2B" w:rsidRDefault="00C813D2" w:rsidP="00C813D2">
      <w:pPr>
        <w:pStyle w:val="Textoindependiente21"/>
        <w:tabs>
          <w:tab w:val="left" w:pos="5250"/>
        </w:tabs>
        <w:rPr>
          <w:rFonts w:cs="Tahoma"/>
          <w:szCs w:val="22"/>
          <w:lang w:val="pt-BR"/>
        </w:rPr>
      </w:pPr>
      <w:r w:rsidRPr="00AD6B2B">
        <w:rPr>
          <w:rFonts w:cs="Tahoma"/>
          <w:szCs w:val="22"/>
          <w:lang w:val="en-US"/>
        </w:rPr>
        <w:t>Ramírez Maynetto.</w:t>
      </w:r>
    </w:p>
    <w:p w:rsidR="00C813D2" w:rsidRPr="00AD6B2B" w:rsidRDefault="00C813D2" w:rsidP="00C813D2">
      <w:pPr>
        <w:pStyle w:val="Textoindependiente21"/>
        <w:tabs>
          <w:tab w:val="left" w:pos="5250"/>
        </w:tabs>
        <w:rPr>
          <w:szCs w:val="22"/>
        </w:rPr>
      </w:pPr>
      <w:r w:rsidRPr="00AD6B2B">
        <w:rPr>
          <w:rFonts w:cs="Tahoma"/>
          <w:szCs w:val="22"/>
          <w:lang w:val="pt-BR"/>
        </w:rPr>
        <w:t>Basulto Liewald.</w:t>
      </w:r>
    </w:p>
    <w:p w:rsidR="00C813D2" w:rsidRDefault="00C813D2" w:rsidP="00C813D2"/>
    <w:p w:rsidR="008B738B" w:rsidRDefault="00A25892"/>
    <w:sectPr w:rsidR="008B738B" w:rsidSect="00C813D2">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892" w:rsidRDefault="00A25892" w:rsidP="00C813D2">
      <w:r>
        <w:separator/>
      </w:r>
    </w:p>
  </w:endnote>
  <w:endnote w:type="continuationSeparator" w:id="1">
    <w:p w:rsidR="00A25892" w:rsidRDefault="00A25892" w:rsidP="00C813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2190"/>
      <w:docPartObj>
        <w:docPartGallery w:val="Page Numbers (Bottom of Page)"/>
        <w:docPartUnique/>
      </w:docPartObj>
    </w:sdtPr>
    <w:sdtContent>
      <w:sdt>
        <w:sdtPr>
          <w:id w:val="216747541"/>
          <w:docPartObj>
            <w:docPartGallery w:val="Page Numbers (Top of Page)"/>
            <w:docPartUnique/>
          </w:docPartObj>
        </w:sdtPr>
        <w:sdtContent>
          <w:p w:rsidR="00906AE6" w:rsidRDefault="00906AE6">
            <w:pPr>
              <w:pStyle w:val="Piedepgina"/>
              <w:jc w:val="center"/>
            </w:pPr>
            <w:r>
              <w:t xml:space="preserve">Página </w:t>
            </w:r>
            <w:r w:rsidR="00FA15B4">
              <w:rPr>
                <w:b/>
              </w:rPr>
              <w:fldChar w:fldCharType="begin"/>
            </w:r>
            <w:r>
              <w:rPr>
                <w:b/>
              </w:rPr>
              <w:instrText>PAGE</w:instrText>
            </w:r>
            <w:r w:rsidR="00FA15B4">
              <w:rPr>
                <w:b/>
              </w:rPr>
              <w:fldChar w:fldCharType="separate"/>
            </w:r>
            <w:r w:rsidR="00D42085">
              <w:rPr>
                <w:b/>
                <w:noProof/>
              </w:rPr>
              <w:t>1</w:t>
            </w:r>
            <w:r w:rsidR="00FA15B4">
              <w:rPr>
                <w:b/>
              </w:rPr>
              <w:fldChar w:fldCharType="end"/>
            </w:r>
            <w:r>
              <w:t xml:space="preserve"> de </w:t>
            </w:r>
            <w:r w:rsidR="00FA15B4">
              <w:rPr>
                <w:b/>
              </w:rPr>
              <w:fldChar w:fldCharType="begin"/>
            </w:r>
            <w:r>
              <w:rPr>
                <w:b/>
              </w:rPr>
              <w:instrText>NUMPAGES</w:instrText>
            </w:r>
            <w:r w:rsidR="00FA15B4">
              <w:rPr>
                <w:b/>
              </w:rPr>
              <w:fldChar w:fldCharType="separate"/>
            </w:r>
            <w:r w:rsidR="00D42085">
              <w:rPr>
                <w:b/>
                <w:noProof/>
              </w:rPr>
              <w:t>14</w:t>
            </w:r>
            <w:r w:rsidR="00FA15B4">
              <w:rPr>
                <w:b/>
              </w:rPr>
              <w:fldChar w:fldCharType="end"/>
            </w:r>
          </w:p>
        </w:sdtContent>
      </w:sdt>
    </w:sdtContent>
  </w:sdt>
  <w:p w:rsidR="00906AE6" w:rsidRDefault="00906AE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892" w:rsidRDefault="00A25892" w:rsidP="00C813D2">
      <w:r>
        <w:separator/>
      </w:r>
    </w:p>
  </w:footnote>
  <w:footnote w:type="continuationSeparator" w:id="1">
    <w:p w:rsidR="00A25892" w:rsidRDefault="00A25892" w:rsidP="00C813D2">
      <w:r>
        <w:continuationSeparator/>
      </w:r>
    </w:p>
  </w:footnote>
  <w:footnote w:id="2">
    <w:p w:rsidR="00C813D2" w:rsidRDefault="00C813D2" w:rsidP="00C813D2">
      <w:pPr>
        <w:pStyle w:val="Textonotapie"/>
      </w:pPr>
      <w:r>
        <w:rPr>
          <w:rStyle w:val="Refdenotaalpie"/>
        </w:rPr>
        <w:footnoteRef/>
      </w:r>
      <w:r>
        <w:t xml:space="preserve"> MORON URBINA, Juan Carlos. Comentario a la Ley del Procedimiento Administrativo General. Gaceta Jurídica. Quinta Edición, 2006, pág. 182 y 183.</w:t>
      </w:r>
    </w:p>
  </w:footnote>
  <w:footnote w:id="3">
    <w:p w:rsidR="00C813D2" w:rsidRDefault="00C813D2" w:rsidP="00C813D2">
      <w:pPr>
        <w:pStyle w:val="Textonotapie"/>
        <w:jc w:val="both"/>
      </w:pPr>
      <w:r>
        <w:rPr>
          <w:rStyle w:val="Refdenotaalpie"/>
        </w:rPr>
        <w:footnoteRef/>
      </w:r>
      <w:r>
        <w:t xml:space="preserve"> Al respecto Juan Carlos Moron Urbina, en el libro Comentario a la Ley del Procedimiento Administrativo General, pag 194, indicó que respecto a las notificaciones defectuosas o viciadas  se debe diferenciar los siguiente supuestos:</w:t>
      </w:r>
    </w:p>
    <w:p w:rsidR="00C813D2" w:rsidRPr="007B1E52" w:rsidRDefault="00C813D2" w:rsidP="00C813D2">
      <w:pPr>
        <w:pStyle w:val="Textonotapie"/>
        <w:jc w:val="both"/>
        <w:rPr>
          <w:rFonts w:ascii="Tahoma" w:hAnsi="Tahoma" w:cs="Tahoma"/>
          <w:b/>
          <w:i/>
          <w:sz w:val="16"/>
          <w:szCs w:val="16"/>
        </w:rPr>
      </w:pPr>
      <w:r w:rsidRPr="007B1E52">
        <w:rPr>
          <w:rFonts w:ascii="Tahoma" w:hAnsi="Tahoma" w:cs="Tahoma"/>
          <w:b/>
          <w:i/>
          <w:sz w:val="16"/>
          <w:szCs w:val="16"/>
        </w:rPr>
        <w:t>“Falta absoluta de notificación</w:t>
      </w:r>
    </w:p>
    <w:p w:rsidR="00C813D2" w:rsidRPr="007B1E52" w:rsidRDefault="00C813D2" w:rsidP="00C813D2">
      <w:pPr>
        <w:pStyle w:val="Textonotapie"/>
        <w:jc w:val="both"/>
        <w:rPr>
          <w:rFonts w:ascii="Tahoma" w:hAnsi="Tahoma" w:cs="Tahoma"/>
          <w:i/>
          <w:sz w:val="16"/>
          <w:szCs w:val="16"/>
        </w:rPr>
      </w:pPr>
      <w:r w:rsidRPr="007B1E52">
        <w:rPr>
          <w:rFonts w:ascii="Tahoma" w:hAnsi="Tahoma" w:cs="Tahoma"/>
          <w:i/>
          <w:sz w:val="16"/>
          <w:szCs w:val="16"/>
        </w:rPr>
        <w:t>Estamos frente a la ausencia total de cualquier actuación administrativa dirigida ha transmitir el conocimiento de la dación del acto. En este caso, se trata de un acto en pendencia de entrar en vigencia, en tanto no se produzca la notificación, salvo que estemos en algunos de los supuestos expreso de dispensa de la notificación de que trata el artículo 19 de la Ley. Por coherencia no serán aplicables  los supuestos de saneamiento de notificaciones defectuosas, ya que no estamos en una notificación con incorrecciones, sino de una falta absoluta de notificación, sin ningún inicio de operación material para llevarla a cabo.</w:t>
      </w:r>
    </w:p>
    <w:p w:rsidR="00C813D2" w:rsidRPr="007B1E52" w:rsidRDefault="00C813D2" w:rsidP="00C813D2">
      <w:pPr>
        <w:pStyle w:val="Textonotapie"/>
        <w:jc w:val="both"/>
        <w:rPr>
          <w:rFonts w:ascii="Tahoma" w:hAnsi="Tahoma" w:cs="Tahoma"/>
          <w:b/>
          <w:i/>
          <w:sz w:val="16"/>
          <w:szCs w:val="16"/>
        </w:rPr>
      </w:pPr>
      <w:r w:rsidRPr="007B1E52">
        <w:rPr>
          <w:rFonts w:ascii="Tahoma" w:hAnsi="Tahoma" w:cs="Tahoma"/>
          <w:b/>
          <w:i/>
          <w:sz w:val="16"/>
          <w:szCs w:val="16"/>
        </w:rPr>
        <w:t>Notificación que induce a error al administrado</w:t>
      </w:r>
    </w:p>
    <w:p w:rsidR="00C813D2" w:rsidRPr="007B1E52" w:rsidRDefault="00C813D2" w:rsidP="00C813D2">
      <w:pPr>
        <w:pStyle w:val="Textonotapie"/>
        <w:jc w:val="both"/>
        <w:rPr>
          <w:rFonts w:ascii="Tahoma" w:hAnsi="Tahoma" w:cs="Tahoma"/>
          <w:i/>
          <w:sz w:val="16"/>
          <w:szCs w:val="16"/>
        </w:rPr>
      </w:pPr>
      <w:r w:rsidRPr="007B1E52">
        <w:rPr>
          <w:rFonts w:ascii="Tahoma" w:hAnsi="Tahoma" w:cs="Tahoma"/>
          <w:i/>
          <w:sz w:val="16"/>
          <w:szCs w:val="16"/>
        </w:rPr>
        <w:t>En este caso debe entenderse que si el administrado sigue lo informado en la notificación y realiza un acto procesal no procedente, queda a salvo su derecho para plantear después la cuestión ante el órgano o en el modo correcto (Ejm. Recurso indebidamente planteado, considerar agotada la vía sin estarlo, etc.). Si por ejemplo, contiene todos sus elementos conformes, pero equivoca en la mención de la proyección procesal (recursos procedentes, explicitar sin procede recursos administrativos y sus características), estaremos en el caso de un acto administrativo eficaz, pero cuyo plazo de impugnación no habrá comenzado a correr. Este supuesto tiene su tratamiento específicamente en el artículo 24.2.</w:t>
      </w:r>
    </w:p>
    <w:p w:rsidR="00C813D2" w:rsidRPr="007B1E52" w:rsidRDefault="00C813D2" w:rsidP="00C813D2">
      <w:pPr>
        <w:pStyle w:val="Textonotapie"/>
        <w:jc w:val="both"/>
        <w:rPr>
          <w:rFonts w:ascii="Tahoma" w:hAnsi="Tahoma" w:cs="Tahoma"/>
          <w:b/>
          <w:i/>
          <w:sz w:val="16"/>
          <w:szCs w:val="16"/>
        </w:rPr>
      </w:pPr>
      <w:r w:rsidRPr="007B1E52">
        <w:rPr>
          <w:rFonts w:ascii="Tahoma" w:hAnsi="Tahoma" w:cs="Tahoma"/>
          <w:b/>
          <w:i/>
          <w:sz w:val="16"/>
          <w:szCs w:val="16"/>
        </w:rPr>
        <w:t>Notificación realizada extemporáneamente</w:t>
      </w:r>
    </w:p>
    <w:p w:rsidR="00C813D2" w:rsidRPr="007B1E52" w:rsidRDefault="00C813D2" w:rsidP="00C813D2">
      <w:pPr>
        <w:pStyle w:val="Textonotapie"/>
        <w:jc w:val="both"/>
        <w:rPr>
          <w:rFonts w:ascii="Tahoma" w:hAnsi="Tahoma" w:cs="Tahoma"/>
          <w:i/>
          <w:sz w:val="16"/>
          <w:szCs w:val="16"/>
        </w:rPr>
      </w:pPr>
      <w:r w:rsidRPr="007B1E52">
        <w:rPr>
          <w:rFonts w:ascii="Tahoma" w:hAnsi="Tahoma" w:cs="Tahoma"/>
          <w:i/>
          <w:sz w:val="16"/>
          <w:szCs w:val="16"/>
        </w:rPr>
        <w:t>En principio hay que considerar válida la notificación, ya que las actuaciones administrativas realizadas fuera del plazo establecido sólo implicarían la anulación del acto, si así lo impone la naturaleza de las cosas (art. 140.3) Si bien puede producir desfases con esta acción, por la convicción que el administrado puede adoptar acerca de acogerse al silencia administrativo ante la inactividad de la administración, ello no es óbice para invalidar la acción extermporánea pero arreglada al deber de resolver los asuntos administrativos.</w:t>
      </w:r>
    </w:p>
    <w:p w:rsidR="00C813D2" w:rsidRPr="007B1E52" w:rsidRDefault="00C813D2" w:rsidP="00C813D2">
      <w:pPr>
        <w:pStyle w:val="Textonotapie"/>
        <w:jc w:val="both"/>
        <w:rPr>
          <w:rFonts w:ascii="Tahoma" w:hAnsi="Tahoma" w:cs="Tahoma"/>
          <w:i/>
          <w:sz w:val="16"/>
          <w:szCs w:val="16"/>
        </w:rPr>
      </w:pPr>
      <w:r w:rsidRPr="007B1E52">
        <w:rPr>
          <w:rFonts w:ascii="Tahoma" w:hAnsi="Tahoma" w:cs="Tahoma"/>
          <w:i/>
          <w:sz w:val="16"/>
          <w:szCs w:val="16"/>
        </w:rPr>
        <w:t>Notificaciones con otros defectos</w:t>
      </w:r>
    </w:p>
    <w:p w:rsidR="00C813D2" w:rsidRPr="007B1E52" w:rsidRDefault="00C813D2" w:rsidP="00C813D2">
      <w:pPr>
        <w:pStyle w:val="Textonotapie"/>
        <w:jc w:val="both"/>
        <w:rPr>
          <w:rFonts w:ascii="Tahoma" w:hAnsi="Tahoma" w:cs="Tahoma"/>
          <w:i/>
          <w:sz w:val="16"/>
          <w:szCs w:val="16"/>
        </w:rPr>
      </w:pPr>
      <w:r w:rsidRPr="007B1E52">
        <w:rPr>
          <w:rFonts w:ascii="Tahoma" w:hAnsi="Tahoma" w:cs="Tahoma"/>
          <w:i/>
          <w:sz w:val="16"/>
          <w:szCs w:val="16"/>
        </w:rPr>
        <w:t>Tratándose de otros tipos de defectos distintos a los anteriores, será de aplicación lo dispuesto por el presente artículo, en los términos descritos a continuación.</w:t>
      </w:r>
    </w:p>
    <w:p w:rsidR="00C813D2" w:rsidRPr="007B1E52" w:rsidRDefault="00C813D2" w:rsidP="00C813D2">
      <w:pPr>
        <w:pStyle w:val="Textonotapie"/>
        <w:jc w:val="both"/>
        <w:rPr>
          <w:rFonts w:ascii="Tahoma" w:hAnsi="Tahoma" w:cs="Tahoma"/>
          <w:i/>
          <w:sz w:val="16"/>
          <w:szCs w:val="16"/>
        </w:rPr>
      </w:pPr>
      <w:r w:rsidRPr="007B1E52">
        <w:rPr>
          <w:rFonts w:ascii="Tahoma" w:hAnsi="Tahoma" w:cs="Tahoma"/>
          <w:i/>
          <w:sz w:val="16"/>
          <w:szCs w:val="16"/>
        </w:rPr>
        <w:t>Cuando una notificación no reúne los requisitos de contenido (art. 24), modalidad (art. 20) y las características propias de la modalidad aplicable, no produce sus efectos ordinarios, como tal no empezará la eficacia del acto notificado, ni corresponderán los plazos, ni vinculará válidamente a los notificados.</w:t>
      </w:r>
    </w:p>
    <w:p w:rsidR="00C813D2" w:rsidRPr="007B1E52" w:rsidRDefault="00C813D2" w:rsidP="00C813D2">
      <w:pPr>
        <w:pStyle w:val="Textonotapie"/>
        <w:jc w:val="both"/>
        <w:rPr>
          <w:rFonts w:ascii="Tahoma" w:hAnsi="Tahoma" w:cs="Tahoma"/>
          <w:sz w:val="16"/>
          <w:szCs w:val="16"/>
        </w:rPr>
      </w:pPr>
      <w:r w:rsidRPr="007B1E52">
        <w:rPr>
          <w:rFonts w:ascii="Tahoma" w:hAnsi="Tahoma" w:cs="Tahoma"/>
          <w:i/>
          <w:sz w:val="16"/>
          <w:szCs w:val="16"/>
        </w:rPr>
        <w:t>La deficiencia del acto puede ser advertida por la propia autoridad instructora, en cuyo caso dispondrá directamente que se rehaga la actuación y se anulen las actuaciones realizadas en el ínterin. Si fuere advertido por la autoridad superior (vía queja o recurso administrativo), deberá proceder a reponer la causa al estado de la notificación inválida”</w:t>
      </w:r>
    </w:p>
    <w:p w:rsidR="00C813D2" w:rsidRDefault="00C813D2" w:rsidP="00C813D2">
      <w:pPr>
        <w:pStyle w:val="Textonotapie"/>
      </w:pPr>
    </w:p>
    <w:p w:rsidR="00C813D2" w:rsidRDefault="00C813D2" w:rsidP="00C813D2">
      <w:pPr>
        <w:pStyle w:val="Textonotapie"/>
      </w:pPr>
    </w:p>
    <w:p w:rsidR="00C813D2" w:rsidRDefault="00C813D2" w:rsidP="00C813D2">
      <w:pPr>
        <w:pStyle w:val="Textonotapie"/>
      </w:pPr>
    </w:p>
  </w:footnote>
  <w:footnote w:id="4">
    <w:p w:rsidR="00C813D2" w:rsidRDefault="00C813D2" w:rsidP="00C813D2">
      <w:pPr>
        <w:pStyle w:val="Textonotapie"/>
      </w:pPr>
      <w:r>
        <w:rPr>
          <w:rStyle w:val="Refdenotaalpie"/>
        </w:rPr>
        <w:footnoteRef/>
      </w:r>
      <w:r>
        <w:t xml:space="preserve"> Véase por ejemplo la Resolución Nº 2118-2010-TC-S3 de fecha 09 de noviembre del 2010.</w:t>
      </w:r>
    </w:p>
  </w:footnote>
  <w:footnote w:id="5">
    <w:p w:rsidR="00C813D2" w:rsidRPr="007B2B5E" w:rsidRDefault="00C813D2" w:rsidP="00C813D2">
      <w:pPr>
        <w:pStyle w:val="Textonotapie"/>
        <w:jc w:val="both"/>
        <w:rPr>
          <w:rFonts w:ascii="Tahoma" w:hAnsi="Tahoma" w:cs="Tahoma"/>
          <w:sz w:val="16"/>
          <w:szCs w:val="16"/>
        </w:rPr>
      </w:pPr>
      <w:r w:rsidRPr="007B2B5E">
        <w:rPr>
          <w:rStyle w:val="Refdenotaalpie"/>
          <w:rFonts w:ascii="Tahoma" w:hAnsi="Tahoma" w:cs="Tahoma"/>
          <w:sz w:val="16"/>
          <w:szCs w:val="16"/>
        </w:rPr>
        <w:footnoteRef/>
      </w:r>
      <w:r w:rsidRPr="007B2B5E">
        <w:rPr>
          <w:rFonts w:ascii="Tahoma" w:hAnsi="Tahoma" w:cs="Tahoma"/>
          <w:sz w:val="16"/>
          <w:szCs w:val="16"/>
        </w:rPr>
        <w:t xml:space="preserve"> </w:t>
      </w:r>
      <w:r w:rsidRPr="007B2B5E">
        <w:rPr>
          <w:rFonts w:ascii="Tahoma" w:hAnsi="Tahoma" w:cs="Tahoma"/>
          <w:b/>
          <w:sz w:val="16"/>
          <w:szCs w:val="16"/>
        </w:rPr>
        <w:t>Artículo 3.- Requisitos de validez de los actos administrativos</w:t>
      </w:r>
    </w:p>
    <w:p w:rsidR="00C813D2" w:rsidRPr="007B2B5E" w:rsidRDefault="00C813D2" w:rsidP="00C813D2">
      <w:pPr>
        <w:pStyle w:val="Textonotapie"/>
        <w:jc w:val="both"/>
        <w:rPr>
          <w:rFonts w:ascii="Tahoma" w:hAnsi="Tahoma" w:cs="Tahoma"/>
          <w:sz w:val="16"/>
          <w:szCs w:val="16"/>
        </w:rPr>
      </w:pPr>
      <w:r w:rsidRPr="007B2B5E">
        <w:rPr>
          <w:rFonts w:ascii="Tahoma" w:hAnsi="Tahoma" w:cs="Tahoma"/>
          <w:sz w:val="16"/>
          <w:szCs w:val="16"/>
        </w:rPr>
        <w:t>Son requisitos de validez de los actos administrativos:</w:t>
      </w:r>
    </w:p>
    <w:p w:rsidR="00C813D2" w:rsidRPr="007B2B5E" w:rsidRDefault="00C813D2" w:rsidP="00C813D2">
      <w:pPr>
        <w:pStyle w:val="Textonotapie"/>
        <w:jc w:val="both"/>
        <w:rPr>
          <w:rFonts w:ascii="Tahoma" w:hAnsi="Tahoma" w:cs="Tahoma"/>
          <w:sz w:val="16"/>
          <w:szCs w:val="16"/>
        </w:rPr>
      </w:pPr>
      <w:r w:rsidRPr="007B2B5E">
        <w:rPr>
          <w:rFonts w:ascii="Tahoma" w:hAnsi="Tahoma" w:cs="Tahoma"/>
          <w:sz w:val="16"/>
          <w:szCs w:val="16"/>
        </w:rPr>
        <w:t>[…]</w:t>
      </w:r>
    </w:p>
    <w:p w:rsidR="00C813D2" w:rsidRPr="007B2B5E" w:rsidRDefault="00C813D2" w:rsidP="00C813D2">
      <w:pPr>
        <w:pStyle w:val="Textonotapie"/>
        <w:jc w:val="both"/>
        <w:rPr>
          <w:rFonts w:ascii="Tahoma" w:hAnsi="Tahoma" w:cs="Tahoma"/>
          <w:sz w:val="16"/>
          <w:szCs w:val="16"/>
        </w:rPr>
      </w:pPr>
      <w:r w:rsidRPr="007B2B5E">
        <w:rPr>
          <w:rFonts w:ascii="Tahoma" w:hAnsi="Tahoma" w:cs="Tahoma"/>
          <w:sz w:val="16"/>
          <w:szCs w:val="16"/>
        </w:rPr>
        <w:t>5. Procedimiento regular.- Antes de su emisión, el acto debe ser conformado mediante el cumplimiento del procedimiento administrativo previsto para su generación.</w:t>
      </w:r>
    </w:p>
    <w:p w:rsidR="00C813D2" w:rsidRPr="007B2B5E" w:rsidRDefault="00C813D2" w:rsidP="00C813D2">
      <w:pPr>
        <w:pStyle w:val="Textonotapie"/>
        <w:jc w:val="both"/>
        <w:rPr>
          <w:rFonts w:ascii="Tahoma" w:hAnsi="Tahoma" w:cs="Tahoma"/>
          <w:b/>
          <w:sz w:val="16"/>
          <w:szCs w:val="16"/>
        </w:rPr>
      </w:pPr>
      <w:r w:rsidRPr="007B2B5E">
        <w:rPr>
          <w:rFonts w:ascii="Tahoma" w:hAnsi="Tahoma" w:cs="Tahoma"/>
          <w:b/>
          <w:sz w:val="16"/>
          <w:szCs w:val="16"/>
        </w:rPr>
        <w:t>Artículo 10.- Causales de nulidad</w:t>
      </w:r>
    </w:p>
    <w:p w:rsidR="00C813D2" w:rsidRPr="007B2B5E" w:rsidRDefault="00C813D2" w:rsidP="00C813D2">
      <w:pPr>
        <w:pStyle w:val="Textonotapie"/>
        <w:jc w:val="both"/>
        <w:rPr>
          <w:rFonts w:ascii="Tahoma" w:hAnsi="Tahoma" w:cs="Tahoma"/>
          <w:sz w:val="16"/>
          <w:szCs w:val="16"/>
        </w:rPr>
      </w:pPr>
      <w:r w:rsidRPr="007B2B5E">
        <w:rPr>
          <w:rFonts w:ascii="Tahoma" w:hAnsi="Tahoma" w:cs="Tahoma"/>
          <w:sz w:val="16"/>
          <w:szCs w:val="16"/>
        </w:rPr>
        <w:t>Son vicios del acto administrativo, que causan su nulidad de pleno derecho, los siguientes:</w:t>
      </w:r>
    </w:p>
    <w:p w:rsidR="00C813D2" w:rsidRPr="007B2B5E" w:rsidRDefault="00C813D2" w:rsidP="00C813D2">
      <w:pPr>
        <w:pStyle w:val="Textonotapie"/>
        <w:numPr>
          <w:ilvl w:val="0"/>
          <w:numId w:val="13"/>
        </w:numPr>
        <w:ind w:left="284" w:hanging="284"/>
        <w:jc w:val="both"/>
        <w:rPr>
          <w:rFonts w:ascii="Tahoma" w:hAnsi="Tahoma" w:cs="Tahoma"/>
          <w:sz w:val="16"/>
          <w:szCs w:val="16"/>
        </w:rPr>
      </w:pPr>
      <w:r w:rsidRPr="007B2B5E">
        <w:rPr>
          <w:rFonts w:ascii="Tahoma" w:hAnsi="Tahoma" w:cs="Tahoma"/>
          <w:sz w:val="16"/>
          <w:szCs w:val="16"/>
        </w:rPr>
        <w:t>La contravención a la Constitución, a las leyes o a las normas reglamentarias.</w:t>
      </w:r>
    </w:p>
    <w:p w:rsidR="00C813D2" w:rsidRPr="007B2B5E" w:rsidRDefault="00C813D2" w:rsidP="00C813D2">
      <w:pPr>
        <w:pStyle w:val="Textonotapie"/>
        <w:numPr>
          <w:ilvl w:val="0"/>
          <w:numId w:val="13"/>
        </w:numPr>
        <w:ind w:left="284" w:hanging="284"/>
        <w:jc w:val="both"/>
        <w:rPr>
          <w:rFonts w:ascii="Tahoma" w:hAnsi="Tahoma" w:cs="Tahoma"/>
          <w:sz w:val="16"/>
          <w:szCs w:val="16"/>
        </w:rPr>
      </w:pPr>
      <w:r w:rsidRPr="007B2B5E">
        <w:rPr>
          <w:rFonts w:ascii="Tahoma" w:hAnsi="Tahoma" w:cs="Tahoma"/>
          <w:sz w:val="16"/>
          <w:szCs w:val="16"/>
        </w:rPr>
        <w:t>El defecto o la omisión de alguno de sus requisitos de validez, salvo que se presente alguno de los supuestos de conservación del acto a que se refiere el artículo 14.</w:t>
      </w:r>
    </w:p>
    <w:p w:rsidR="00C813D2" w:rsidRPr="00C90F01" w:rsidRDefault="00C813D2" w:rsidP="00C813D2">
      <w:pPr>
        <w:pStyle w:val="Textonotapie"/>
        <w:ind w:left="284"/>
        <w:jc w:val="both"/>
        <w:rPr>
          <w:i/>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085" w:rsidRDefault="00D42085" w:rsidP="00D42085">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D42085" w:rsidRDefault="00D42085" w:rsidP="00D42085">
    <w:pPr>
      <w:pStyle w:val="Encabezado"/>
      <w:rPr>
        <w:noProof/>
      </w:rPr>
    </w:pPr>
  </w:p>
  <w:p w:rsidR="00D42085" w:rsidRDefault="00D42085" w:rsidP="00D42085">
    <w:pPr>
      <w:pStyle w:val="Encabezado"/>
      <w:rPr>
        <w:noProof/>
      </w:rPr>
    </w:pPr>
  </w:p>
  <w:p w:rsidR="00D42085" w:rsidRDefault="00D42085" w:rsidP="00D42085">
    <w:pPr>
      <w:pStyle w:val="Encabezado"/>
      <w:rPr>
        <w:noProof/>
      </w:rPr>
    </w:pPr>
  </w:p>
  <w:p w:rsidR="00D42085" w:rsidRDefault="00D42085" w:rsidP="00D42085">
    <w:pPr>
      <w:pStyle w:val="Encabezado"/>
      <w:jc w:val="center"/>
    </w:pPr>
    <w:r>
      <w:rPr>
        <w:rFonts w:ascii="Monotype Corsiva" w:hAnsi="Monotype Corsiva"/>
        <w:b/>
        <w:sz w:val="44"/>
        <w:szCs w:val="44"/>
      </w:rPr>
      <w:t xml:space="preserve">Resolución Nº   </w:t>
    </w:r>
    <w:r>
      <w:rPr>
        <w:rFonts w:ascii="Tahoma" w:hAnsi="Tahoma" w:cs="Tahoma"/>
        <w:b/>
        <w:sz w:val="44"/>
        <w:szCs w:val="44"/>
      </w:rPr>
      <w:t>1097-2011-TC-S1</w:t>
    </w:r>
  </w:p>
  <w:p w:rsidR="00D42085" w:rsidRDefault="00D4208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84101"/>
    <w:multiLevelType w:val="hybridMultilevel"/>
    <w:tmpl w:val="08AABC64"/>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1">
    <w:nsid w:val="131D60A9"/>
    <w:multiLevelType w:val="hybridMultilevel"/>
    <w:tmpl w:val="B2F4E4B6"/>
    <w:lvl w:ilvl="0" w:tplc="A816E70C">
      <w:start w:val="1"/>
      <w:numFmt w:val="decimal"/>
      <w:lvlText w:val="%1."/>
      <w:lvlJc w:val="left"/>
      <w:pPr>
        <w:tabs>
          <w:tab w:val="num" w:pos="720"/>
        </w:tabs>
        <w:ind w:left="720" w:hanging="360"/>
      </w:pPr>
      <w:rPr>
        <w:b w:val="0"/>
      </w:rPr>
    </w:lvl>
    <w:lvl w:ilvl="1" w:tplc="64268118">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21050096"/>
    <w:multiLevelType w:val="hybridMultilevel"/>
    <w:tmpl w:val="6B681592"/>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3">
    <w:nsid w:val="257951D5"/>
    <w:multiLevelType w:val="hybridMultilevel"/>
    <w:tmpl w:val="390CCD6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92E7221"/>
    <w:multiLevelType w:val="hybridMultilevel"/>
    <w:tmpl w:val="43F45930"/>
    <w:lvl w:ilvl="0" w:tplc="DBC23C3E">
      <w:start w:val="1"/>
      <w:numFmt w:val="decimal"/>
      <w:lvlText w:val="%1."/>
      <w:lvlJc w:val="left"/>
      <w:pPr>
        <w:tabs>
          <w:tab w:val="num" w:pos="502"/>
        </w:tabs>
        <w:ind w:left="502" w:hanging="360"/>
      </w:pPr>
      <w:rPr>
        <w:rFonts w:ascii="Tahoma" w:hAnsi="Tahoma" w:cs="Tahoma" w:hint="default"/>
        <w:b w:val="0"/>
      </w:rPr>
    </w:lvl>
    <w:lvl w:ilvl="1" w:tplc="0C0A0019">
      <w:start w:val="1"/>
      <w:numFmt w:val="lowerLetter"/>
      <w:lvlText w:val="%2."/>
      <w:lvlJc w:val="left"/>
      <w:pPr>
        <w:tabs>
          <w:tab w:val="num" w:pos="1080"/>
        </w:tabs>
        <w:ind w:left="108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2A3F6A43"/>
    <w:multiLevelType w:val="hybridMultilevel"/>
    <w:tmpl w:val="789EB932"/>
    <w:lvl w:ilvl="0" w:tplc="28B29AC8">
      <w:start w:val="1"/>
      <w:numFmt w:val="decimal"/>
      <w:lvlText w:val="%1."/>
      <w:lvlJc w:val="left"/>
      <w:pPr>
        <w:tabs>
          <w:tab w:val="num" w:pos="1065"/>
        </w:tabs>
        <w:ind w:left="1065" w:hanging="705"/>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2E732141"/>
    <w:multiLevelType w:val="hybridMultilevel"/>
    <w:tmpl w:val="C7F6BD88"/>
    <w:lvl w:ilvl="0" w:tplc="0C0A001B">
      <w:start w:val="1"/>
      <w:numFmt w:val="lowerRoman"/>
      <w:lvlText w:val="%1."/>
      <w:lvlJc w:val="righ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7">
    <w:nsid w:val="30CA7C78"/>
    <w:multiLevelType w:val="hybridMultilevel"/>
    <w:tmpl w:val="9E3017C8"/>
    <w:lvl w:ilvl="0" w:tplc="246222C0">
      <w:start w:val="1"/>
      <w:numFmt w:val="bullet"/>
      <w:lvlText w:val="-"/>
      <w:lvlJc w:val="left"/>
      <w:pPr>
        <w:ind w:left="1571" w:hanging="360"/>
      </w:pPr>
      <w:rPr>
        <w:rFonts w:ascii="Tahoma" w:hAnsi="Tahoma"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8">
    <w:nsid w:val="32466705"/>
    <w:multiLevelType w:val="multilevel"/>
    <w:tmpl w:val="33B89EAC"/>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8DD31EB"/>
    <w:multiLevelType w:val="hybridMultilevel"/>
    <w:tmpl w:val="083E7862"/>
    <w:lvl w:ilvl="0" w:tplc="B6CC3C34">
      <w:start w:val="1"/>
      <w:numFmt w:val="decimal"/>
      <w:lvlText w:val="%1."/>
      <w:lvlJc w:val="left"/>
      <w:pPr>
        <w:ind w:left="1260" w:hanging="360"/>
      </w:pPr>
      <w:rPr>
        <w:rFonts w:hint="default"/>
        <w:b/>
      </w:r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10">
    <w:nsid w:val="41646CFA"/>
    <w:multiLevelType w:val="hybridMultilevel"/>
    <w:tmpl w:val="07F6E03A"/>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1">
    <w:nsid w:val="419356EA"/>
    <w:multiLevelType w:val="hybridMultilevel"/>
    <w:tmpl w:val="F5E62206"/>
    <w:lvl w:ilvl="0" w:tplc="AEE41296">
      <w:start w:val="1"/>
      <w:numFmt w:val="lowerLetter"/>
      <w:lvlText w:val="%1)"/>
      <w:lvlJc w:val="left"/>
      <w:pPr>
        <w:ind w:left="900" w:hanging="360"/>
      </w:pPr>
      <w:rPr>
        <w:rFonts w:hint="default"/>
        <w:b/>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12">
    <w:nsid w:val="43E60EAE"/>
    <w:multiLevelType w:val="hybridMultilevel"/>
    <w:tmpl w:val="F7366BC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5F1566A6"/>
    <w:multiLevelType w:val="hybridMultilevel"/>
    <w:tmpl w:val="5F78036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4">
    <w:nsid w:val="776C2DBD"/>
    <w:multiLevelType w:val="hybridMultilevel"/>
    <w:tmpl w:val="8D78D424"/>
    <w:lvl w:ilvl="0" w:tplc="E7068C98">
      <w:start w:val="1"/>
      <w:numFmt w:val="decimal"/>
      <w:lvlText w:val="%1."/>
      <w:lvlJc w:val="left"/>
      <w:pPr>
        <w:ind w:left="720" w:hanging="360"/>
      </w:pPr>
      <w:rPr>
        <w:rFonts w:hint="default"/>
        <w:b/>
        <w:shadow/>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11"/>
  </w:num>
  <w:num w:numId="8">
    <w:abstractNumId w:val="13"/>
  </w:num>
  <w:num w:numId="9">
    <w:abstractNumId w:val="10"/>
  </w:num>
  <w:num w:numId="10">
    <w:abstractNumId w:val="6"/>
  </w:num>
  <w:num w:numId="11">
    <w:abstractNumId w:val="0"/>
  </w:num>
  <w:num w:numId="12">
    <w:abstractNumId w:val="9"/>
  </w:num>
  <w:num w:numId="13">
    <w:abstractNumId w:val="12"/>
  </w:num>
  <w:num w:numId="14">
    <w:abstractNumId w:val="7"/>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C813D2"/>
    <w:rsid w:val="003C744F"/>
    <w:rsid w:val="003E53D8"/>
    <w:rsid w:val="0045584E"/>
    <w:rsid w:val="005F0E2E"/>
    <w:rsid w:val="009042C5"/>
    <w:rsid w:val="00906AE6"/>
    <w:rsid w:val="00A25892"/>
    <w:rsid w:val="00C813D2"/>
    <w:rsid w:val="00D42085"/>
    <w:rsid w:val="00FA15B4"/>
    <w:rsid w:val="00FD03C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3D2"/>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C813D2"/>
    <w:pPr>
      <w:spacing w:after="120"/>
    </w:pPr>
    <w:rPr>
      <w:sz w:val="16"/>
      <w:szCs w:val="16"/>
      <w:lang w:val="es-PE"/>
    </w:rPr>
  </w:style>
  <w:style w:type="character" w:customStyle="1" w:styleId="Textoindependiente3Car">
    <w:name w:val="Texto independiente 3 Car"/>
    <w:basedOn w:val="Fuentedeprrafopredeter"/>
    <w:link w:val="Textoindependiente3"/>
    <w:rsid w:val="00C813D2"/>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C813D2"/>
    <w:pPr>
      <w:jc w:val="both"/>
    </w:pPr>
    <w:rPr>
      <w:rFonts w:ascii="Tahoma" w:hAnsi="Tahoma"/>
      <w:sz w:val="22"/>
      <w:szCs w:val="20"/>
    </w:rPr>
  </w:style>
  <w:style w:type="paragraph" w:styleId="Prrafodelista">
    <w:name w:val="List Paragraph"/>
    <w:basedOn w:val="Normal"/>
    <w:uiPriority w:val="34"/>
    <w:qFormat/>
    <w:rsid w:val="00C813D2"/>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uiPriority w:val="99"/>
    <w:rsid w:val="00C813D2"/>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uiPriority w:val="99"/>
    <w:rsid w:val="00C813D2"/>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C813D2"/>
    <w:rPr>
      <w:rFonts w:cs="Times New Roman"/>
      <w:vertAlign w:val="superscript"/>
    </w:rPr>
  </w:style>
  <w:style w:type="paragraph" w:styleId="Sangradetextonormal">
    <w:name w:val="Body Text Indent"/>
    <w:basedOn w:val="Normal"/>
    <w:link w:val="SangradetextonormalCar"/>
    <w:uiPriority w:val="99"/>
    <w:rsid w:val="00C813D2"/>
    <w:pPr>
      <w:spacing w:after="120"/>
      <w:ind w:left="283"/>
    </w:pPr>
  </w:style>
  <w:style w:type="character" w:customStyle="1" w:styleId="SangradetextonormalCar">
    <w:name w:val="Sangría de texto normal Car"/>
    <w:basedOn w:val="Fuentedeprrafopredeter"/>
    <w:link w:val="Sangradetextonormal"/>
    <w:uiPriority w:val="99"/>
    <w:rsid w:val="00C813D2"/>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C813D2"/>
    <w:pPr>
      <w:spacing w:after="120"/>
    </w:pPr>
  </w:style>
  <w:style w:type="character" w:customStyle="1" w:styleId="TextoindependienteCar">
    <w:name w:val="Texto independiente Car"/>
    <w:basedOn w:val="Fuentedeprrafopredeter"/>
    <w:link w:val="Textoindependiente"/>
    <w:uiPriority w:val="99"/>
    <w:rsid w:val="00C813D2"/>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906AE6"/>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906AE6"/>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06AE6"/>
    <w:pPr>
      <w:tabs>
        <w:tab w:val="center" w:pos="4252"/>
        <w:tab w:val="right" w:pos="8504"/>
      </w:tabs>
    </w:pPr>
  </w:style>
  <w:style w:type="character" w:customStyle="1" w:styleId="PiedepginaCar">
    <w:name w:val="Pie de página Car"/>
    <w:basedOn w:val="Fuentedeprrafopredeter"/>
    <w:link w:val="Piedepgina"/>
    <w:uiPriority w:val="99"/>
    <w:rsid w:val="00906AE6"/>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8864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14</Pages>
  <Words>5114</Words>
  <Characters>28131</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6</cp:revision>
  <cp:lastPrinted>2011-06-23T21:26:00Z</cp:lastPrinted>
  <dcterms:created xsi:type="dcterms:W3CDTF">2011-06-23T21:18:00Z</dcterms:created>
  <dcterms:modified xsi:type="dcterms:W3CDTF">2011-07-11T15:39:00Z</dcterms:modified>
</cp:coreProperties>
</file>